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BE" w:rsidRDefault="008240BE" w:rsidP="008240BE">
      <w:pPr>
        <w:spacing w:after="0" w:line="360" w:lineRule="auto"/>
        <w:jc w:val="center"/>
        <w:rPr>
          <w:b/>
          <w:smallCaps/>
          <w:sz w:val="56"/>
          <w:szCs w:val="44"/>
        </w:rPr>
      </w:pPr>
    </w:p>
    <w:p w:rsidR="008240BE" w:rsidRPr="00752B18" w:rsidRDefault="008240BE" w:rsidP="008240BE">
      <w:pPr>
        <w:spacing w:after="0" w:line="360" w:lineRule="auto"/>
        <w:jc w:val="center"/>
        <w:rPr>
          <w:b/>
          <w:smallCaps/>
          <w:sz w:val="56"/>
          <w:szCs w:val="44"/>
        </w:rPr>
      </w:pPr>
      <w:r w:rsidRPr="00752B18">
        <w:rPr>
          <w:b/>
          <w:smallCaps/>
          <w:sz w:val="56"/>
          <w:szCs w:val="44"/>
        </w:rPr>
        <w:t>Assessing the Use of Law Enforcement by Youth Residential Service Providers</w:t>
      </w:r>
    </w:p>
    <w:p w:rsidR="008240BE" w:rsidRDefault="008240BE" w:rsidP="008240BE">
      <w:pPr>
        <w:spacing w:after="0"/>
        <w:jc w:val="center"/>
      </w:pPr>
    </w:p>
    <w:p w:rsidR="008240BE" w:rsidRDefault="008240BE" w:rsidP="008240BE">
      <w:pPr>
        <w:spacing w:after="0"/>
        <w:jc w:val="center"/>
      </w:pPr>
    </w:p>
    <w:p w:rsidR="008240BE" w:rsidRDefault="008240BE" w:rsidP="008240BE">
      <w:pPr>
        <w:spacing w:after="0"/>
        <w:jc w:val="center"/>
      </w:pPr>
    </w:p>
    <w:p w:rsidR="008240BE" w:rsidRDefault="008240BE" w:rsidP="008240BE">
      <w:pPr>
        <w:spacing w:after="0"/>
        <w:jc w:val="center"/>
      </w:pPr>
    </w:p>
    <w:p w:rsidR="008240BE" w:rsidRDefault="008240BE" w:rsidP="008240BE">
      <w:pPr>
        <w:spacing w:after="0"/>
        <w:jc w:val="center"/>
        <w:rPr>
          <w:rFonts w:cs="Times New Roman"/>
          <w:b/>
          <w:sz w:val="32"/>
          <w:szCs w:val="32"/>
        </w:rPr>
      </w:pPr>
    </w:p>
    <w:p w:rsidR="002701AA" w:rsidRDefault="008240BE" w:rsidP="002701AA">
      <w:pPr>
        <w:spacing w:after="0"/>
        <w:jc w:val="center"/>
        <w:rPr>
          <w:rFonts w:cs="Times New Roman"/>
          <w:b/>
          <w:sz w:val="32"/>
          <w:szCs w:val="32"/>
        </w:rPr>
      </w:pPr>
      <w:r w:rsidRPr="00752B18">
        <w:rPr>
          <w:rFonts w:cs="Times New Roman"/>
          <w:noProof/>
          <w:sz w:val="24"/>
          <w:szCs w:val="24"/>
        </w:rPr>
        <w:drawing>
          <wp:inline distT="0" distB="0" distL="0" distR="0">
            <wp:extent cx="3443605" cy="2286000"/>
            <wp:effectExtent l="0" t="0" r="4445" b="0"/>
            <wp:docPr id="5" name="Picture 5" descr="Two-tone blue logo on a white background.  The words &quot;Disability Rights Maine&quot; are stacked in 3 lines.  An outline of the State of Maine follows the word &quot;Maine.&quot;" title="Disability Rights Ma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_logo_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3605" cy="2286000"/>
                    </a:xfrm>
                    <a:prstGeom prst="rect">
                      <a:avLst/>
                    </a:prstGeom>
                  </pic:spPr>
                </pic:pic>
              </a:graphicData>
            </a:graphic>
          </wp:inline>
        </w:drawing>
      </w:r>
    </w:p>
    <w:p w:rsidR="002701AA" w:rsidRDefault="002701AA" w:rsidP="002701AA">
      <w:pPr>
        <w:spacing w:after="0"/>
        <w:jc w:val="center"/>
        <w:rPr>
          <w:rFonts w:cs="Times New Roman"/>
          <w:b/>
          <w:sz w:val="32"/>
          <w:szCs w:val="32"/>
        </w:rPr>
      </w:pPr>
    </w:p>
    <w:p w:rsidR="002701AA" w:rsidRDefault="002701AA" w:rsidP="002701AA">
      <w:pPr>
        <w:spacing w:after="0"/>
        <w:jc w:val="center"/>
        <w:rPr>
          <w:rFonts w:cs="Times New Roman"/>
          <w:b/>
          <w:sz w:val="32"/>
          <w:szCs w:val="32"/>
        </w:rPr>
      </w:pPr>
    </w:p>
    <w:p w:rsidR="002701AA" w:rsidRDefault="002701AA" w:rsidP="002701AA">
      <w:pPr>
        <w:spacing w:after="0"/>
        <w:jc w:val="center"/>
        <w:rPr>
          <w:rFonts w:cs="Times New Roman"/>
          <w:b/>
          <w:sz w:val="32"/>
          <w:szCs w:val="32"/>
        </w:rPr>
      </w:pPr>
    </w:p>
    <w:p w:rsidR="008240BE" w:rsidRPr="005E503A" w:rsidRDefault="008240BE" w:rsidP="002701AA">
      <w:pPr>
        <w:spacing w:after="0"/>
        <w:jc w:val="center"/>
        <w:rPr>
          <w:rFonts w:cs="Times New Roman"/>
          <w:b/>
          <w:sz w:val="32"/>
          <w:szCs w:val="32"/>
        </w:rPr>
      </w:pPr>
      <w:r w:rsidRPr="005E503A">
        <w:rPr>
          <w:rFonts w:cs="Times New Roman"/>
          <w:b/>
          <w:sz w:val="32"/>
          <w:szCs w:val="32"/>
        </w:rPr>
        <w:t>Disability Rights Maine</w:t>
      </w:r>
    </w:p>
    <w:p w:rsidR="008240BE" w:rsidRPr="005E503A" w:rsidRDefault="008240BE" w:rsidP="002701AA">
      <w:pPr>
        <w:spacing w:after="0"/>
        <w:jc w:val="center"/>
        <w:rPr>
          <w:rFonts w:cs="Times New Roman"/>
          <w:sz w:val="28"/>
          <w:szCs w:val="28"/>
        </w:rPr>
      </w:pPr>
      <w:r w:rsidRPr="005E503A">
        <w:rPr>
          <w:rFonts w:cs="Times New Roman"/>
          <w:sz w:val="28"/>
          <w:szCs w:val="28"/>
        </w:rPr>
        <w:t>24 Stone St, Suite 204</w:t>
      </w:r>
    </w:p>
    <w:p w:rsidR="008240BE" w:rsidRPr="005E503A" w:rsidRDefault="008240BE" w:rsidP="002701AA">
      <w:pPr>
        <w:spacing w:after="0"/>
        <w:jc w:val="center"/>
        <w:rPr>
          <w:rFonts w:cs="Times New Roman"/>
          <w:sz w:val="28"/>
          <w:szCs w:val="28"/>
        </w:rPr>
      </w:pPr>
      <w:r w:rsidRPr="005E503A">
        <w:rPr>
          <w:rFonts w:cs="Times New Roman"/>
          <w:sz w:val="28"/>
          <w:szCs w:val="28"/>
        </w:rPr>
        <w:t>Augusta, ME 04330</w:t>
      </w:r>
    </w:p>
    <w:p w:rsidR="008240BE" w:rsidRPr="005E503A" w:rsidRDefault="008240BE" w:rsidP="002701AA">
      <w:pPr>
        <w:spacing w:after="0"/>
        <w:jc w:val="center"/>
        <w:rPr>
          <w:rFonts w:cs="Times New Roman"/>
          <w:sz w:val="28"/>
          <w:szCs w:val="28"/>
        </w:rPr>
      </w:pPr>
      <w:r w:rsidRPr="005E503A">
        <w:rPr>
          <w:rFonts w:cs="Times New Roman"/>
          <w:sz w:val="28"/>
          <w:szCs w:val="28"/>
        </w:rPr>
        <w:t xml:space="preserve">800.452.1948 </w:t>
      </w:r>
      <w:r w:rsidRPr="005E503A">
        <w:rPr>
          <w:rFonts w:cs="Times New Roman"/>
          <w:sz w:val="24"/>
          <w:szCs w:val="24"/>
        </w:rPr>
        <w:t>●</w:t>
      </w:r>
      <w:r w:rsidRPr="005E503A">
        <w:rPr>
          <w:rFonts w:cs="Times New Roman"/>
          <w:sz w:val="28"/>
          <w:szCs w:val="28"/>
        </w:rPr>
        <w:t xml:space="preserve"> advocate@drme.org</w:t>
      </w:r>
    </w:p>
    <w:p w:rsidR="008240BE" w:rsidRPr="005E503A" w:rsidRDefault="008240BE" w:rsidP="002701AA">
      <w:pPr>
        <w:spacing w:after="0"/>
        <w:jc w:val="center"/>
        <w:rPr>
          <w:rFonts w:cs="Times New Roman"/>
          <w:sz w:val="32"/>
          <w:szCs w:val="32"/>
        </w:rPr>
      </w:pPr>
    </w:p>
    <w:p w:rsidR="008240BE" w:rsidRPr="005E503A" w:rsidRDefault="008240BE" w:rsidP="002701AA">
      <w:pPr>
        <w:spacing w:after="0"/>
        <w:jc w:val="center"/>
        <w:rPr>
          <w:rFonts w:cs="Times New Roman"/>
          <w:sz w:val="24"/>
          <w:szCs w:val="24"/>
        </w:rPr>
      </w:pPr>
    </w:p>
    <w:p w:rsidR="008240BE" w:rsidRPr="005E503A" w:rsidRDefault="008240BE" w:rsidP="002701AA">
      <w:pPr>
        <w:spacing w:after="0"/>
        <w:jc w:val="center"/>
      </w:pPr>
      <w:r w:rsidRPr="005E503A">
        <w:rPr>
          <w:rFonts w:cs="Times New Roman"/>
          <w:sz w:val="24"/>
          <w:szCs w:val="24"/>
        </w:rPr>
        <w:t>August 2</w:t>
      </w:r>
      <w:bookmarkStart w:id="0" w:name="_GoBack"/>
      <w:bookmarkEnd w:id="0"/>
      <w:r w:rsidRPr="005E503A">
        <w:rPr>
          <w:rFonts w:cs="Times New Roman"/>
          <w:sz w:val="24"/>
          <w:szCs w:val="24"/>
        </w:rPr>
        <w:t>017</w:t>
      </w:r>
    </w:p>
    <w:p w:rsidR="008240BE" w:rsidRDefault="008240BE" w:rsidP="008240BE"/>
    <w:p w:rsidR="008240BE" w:rsidRDefault="008240BE" w:rsidP="008240BE">
      <w:r>
        <w:lastRenderedPageBreak/>
        <w:br w:type="page"/>
      </w:r>
    </w:p>
    <w:sdt>
      <w:sdtPr>
        <w:rPr>
          <w:rFonts w:asciiTheme="minorHAnsi" w:eastAsiaTheme="minorHAnsi" w:hAnsiTheme="minorHAnsi" w:cstheme="minorBidi"/>
          <w:b w:val="0"/>
          <w:bCs w:val="0"/>
          <w:color w:val="auto"/>
          <w:sz w:val="22"/>
          <w:szCs w:val="22"/>
          <w:lang w:eastAsia="en-US"/>
        </w:rPr>
        <w:id w:val="-1055856917"/>
        <w:docPartObj>
          <w:docPartGallery w:val="Table of Contents"/>
          <w:docPartUnique/>
        </w:docPartObj>
      </w:sdtPr>
      <w:sdtEndPr>
        <w:rPr>
          <w:noProof/>
        </w:rPr>
      </w:sdtEndPr>
      <w:sdtContent>
        <w:p w:rsidR="008240BE" w:rsidRPr="005E503A" w:rsidRDefault="00663703" w:rsidP="00663703">
          <w:pPr>
            <w:pStyle w:val="TOCHeading"/>
            <w:jc w:val="center"/>
            <w:rPr>
              <w:rFonts w:asciiTheme="minorHAnsi" w:hAnsiTheme="minorHAnsi"/>
              <w:sz w:val="32"/>
              <w:szCs w:val="32"/>
            </w:rPr>
          </w:pPr>
          <w:r w:rsidRPr="005E503A">
            <w:rPr>
              <w:rFonts w:asciiTheme="minorHAnsi" w:hAnsiTheme="minorHAnsi"/>
              <w:sz w:val="32"/>
              <w:szCs w:val="32"/>
            </w:rPr>
            <w:t>Table of Contents</w:t>
          </w:r>
        </w:p>
        <w:p w:rsidR="00663703" w:rsidRPr="00663703" w:rsidRDefault="008240BE" w:rsidP="00663703">
          <w:pPr>
            <w:pStyle w:val="TOC1"/>
            <w:tabs>
              <w:tab w:val="right" w:leader="dot" w:pos="9350"/>
            </w:tabs>
            <w:spacing w:before="240"/>
            <w:rPr>
              <w:rFonts w:eastAsiaTheme="minorEastAsia"/>
              <w:noProof/>
              <w:sz w:val="28"/>
              <w:szCs w:val="28"/>
            </w:rPr>
          </w:pPr>
          <w:r w:rsidRPr="00663703">
            <w:rPr>
              <w:sz w:val="28"/>
              <w:szCs w:val="28"/>
            </w:rPr>
            <w:fldChar w:fldCharType="begin"/>
          </w:r>
          <w:r w:rsidRPr="00663703">
            <w:rPr>
              <w:sz w:val="28"/>
              <w:szCs w:val="28"/>
            </w:rPr>
            <w:instrText xml:space="preserve"> TOC \o "1-3" \h \z \u </w:instrText>
          </w:r>
          <w:r w:rsidRPr="00663703">
            <w:rPr>
              <w:sz w:val="28"/>
              <w:szCs w:val="28"/>
            </w:rPr>
            <w:fldChar w:fldCharType="separate"/>
          </w:r>
          <w:hyperlink w:anchor="_Toc489971858" w:history="1">
            <w:r w:rsidR="00663703" w:rsidRPr="00663703">
              <w:rPr>
                <w:rStyle w:val="Hyperlink"/>
                <w:noProof/>
                <w:sz w:val="28"/>
                <w:szCs w:val="28"/>
              </w:rPr>
              <w:t>Introduction</w:t>
            </w:r>
            <w:r w:rsidR="00663703" w:rsidRPr="00663703">
              <w:rPr>
                <w:noProof/>
                <w:webHidden/>
                <w:sz w:val="28"/>
                <w:szCs w:val="28"/>
              </w:rPr>
              <w:tab/>
            </w:r>
            <w:r w:rsidR="00663703" w:rsidRPr="00663703">
              <w:rPr>
                <w:noProof/>
                <w:webHidden/>
                <w:sz w:val="28"/>
                <w:szCs w:val="28"/>
              </w:rPr>
              <w:fldChar w:fldCharType="begin"/>
            </w:r>
            <w:r w:rsidR="00663703" w:rsidRPr="00663703">
              <w:rPr>
                <w:noProof/>
                <w:webHidden/>
                <w:sz w:val="28"/>
                <w:szCs w:val="28"/>
              </w:rPr>
              <w:instrText xml:space="preserve"> PAGEREF _Toc489971858 \h </w:instrText>
            </w:r>
            <w:r w:rsidR="00663703" w:rsidRPr="00663703">
              <w:rPr>
                <w:noProof/>
                <w:webHidden/>
                <w:sz w:val="28"/>
                <w:szCs w:val="28"/>
              </w:rPr>
            </w:r>
            <w:r w:rsidR="00663703" w:rsidRPr="00663703">
              <w:rPr>
                <w:noProof/>
                <w:webHidden/>
                <w:sz w:val="28"/>
                <w:szCs w:val="28"/>
              </w:rPr>
              <w:fldChar w:fldCharType="separate"/>
            </w:r>
            <w:r w:rsidR="0039720A">
              <w:rPr>
                <w:noProof/>
                <w:webHidden/>
                <w:sz w:val="28"/>
                <w:szCs w:val="28"/>
              </w:rPr>
              <w:t>1</w:t>
            </w:r>
            <w:r w:rsidR="00663703" w:rsidRPr="00663703">
              <w:rPr>
                <w:noProof/>
                <w:webHidden/>
                <w:sz w:val="28"/>
                <w:szCs w:val="28"/>
              </w:rPr>
              <w:fldChar w:fldCharType="end"/>
            </w:r>
          </w:hyperlink>
        </w:p>
        <w:p w:rsidR="00663703" w:rsidRPr="00663703" w:rsidRDefault="002207AA" w:rsidP="00663703">
          <w:pPr>
            <w:pStyle w:val="TOC1"/>
            <w:tabs>
              <w:tab w:val="right" w:leader="dot" w:pos="9350"/>
            </w:tabs>
            <w:spacing w:before="240"/>
            <w:rPr>
              <w:rFonts w:eastAsiaTheme="minorEastAsia"/>
              <w:noProof/>
              <w:sz w:val="28"/>
              <w:szCs w:val="28"/>
            </w:rPr>
          </w:pPr>
          <w:hyperlink w:anchor="_Toc489971859" w:history="1">
            <w:r w:rsidR="00663703" w:rsidRPr="00663703">
              <w:rPr>
                <w:rStyle w:val="Hyperlink"/>
                <w:noProof/>
                <w:sz w:val="28"/>
                <w:szCs w:val="28"/>
              </w:rPr>
              <w:t>Data Collection</w:t>
            </w:r>
            <w:r w:rsidR="00663703" w:rsidRPr="00663703">
              <w:rPr>
                <w:noProof/>
                <w:webHidden/>
                <w:sz w:val="28"/>
                <w:szCs w:val="28"/>
              </w:rPr>
              <w:tab/>
            </w:r>
            <w:r w:rsidR="00663703" w:rsidRPr="00663703">
              <w:rPr>
                <w:noProof/>
                <w:webHidden/>
                <w:sz w:val="28"/>
                <w:szCs w:val="28"/>
              </w:rPr>
              <w:fldChar w:fldCharType="begin"/>
            </w:r>
            <w:r w:rsidR="00663703" w:rsidRPr="00663703">
              <w:rPr>
                <w:noProof/>
                <w:webHidden/>
                <w:sz w:val="28"/>
                <w:szCs w:val="28"/>
              </w:rPr>
              <w:instrText xml:space="preserve"> PAGEREF _Toc489971859 \h </w:instrText>
            </w:r>
            <w:r w:rsidR="00663703" w:rsidRPr="00663703">
              <w:rPr>
                <w:noProof/>
                <w:webHidden/>
                <w:sz w:val="28"/>
                <w:szCs w:val="28"/>
              </w:rPr>
            </w:r>
            <w:r w:rsidR="00663703" w:rsidRPr="00663703">
              <w:rPr>
                <w:noProof/>
                <w:webHidden/>
                <w:sz w:val="28"/>
                <w:szCs w:val="28"/>
              </w:rPr>
              <w:fldChar w:fldCharType="separate"/>
            </w:r>
            <w:r w:rsidR="0039720A">
              <w:rPr>
                <w:noProof/>
                <w:webHidden/>
                <w:sz w:val="28"/>
                <w:szCs w:val="28"/>
              </w:rPr>
              <w:t>6</w:t>
            </w:r>
            <w:r w:rsidR="00663703" w:rsidRPr="00663703">
              <w:rPr>
                <w:noProof/>
                <w:webHidden/>
                <w:sz w:val="28"/>
                <w:szCs w:val="28"/>
              </w:rPr>
              <w:fldChar w:fldCharType="end"/>
            </w:r>
          </w:hyperlink>
        </w:p>
        <w:p w:rsidR="00663703" w:rsidRPr="00663703" w:rsidRDefault="002207AA" w:rsidP="00663703">
          <w:pPr>
            <w:pStyle w:val="TOC1"/>
            <w:tabs>
              <w:tab w:val="right" w:leader="dot" w:pos="9350"/>
            </w:tabs>
            <w:spacing w:before="240"/>
            <w:rPr>
              <w:rFonts w:eastAsiaTheme="minorEastAsia"/>
              <w:noProof/>
              <w:sz w:val="28"/>
              <w:szCs w:val="28"/>
            </w:rPr>
          </w:pPr>
          <w:hyperlink w:anchor="_Toc489971860" w:history="1">
            <w:r w:rsidR="00663703" w:rsidRPr="00663703">
              <w:rPr>
                <w:rStyle w:val="Hyperlink"/>
                <w:noProof/>
                <w:sz w:val="28"/>
                <w:szCs w:val="28"/>
              </w:rPr>
              <w:t>Data Analysis</w:t>
            </w:r>
            <w:r w:rsidR="00663703" w:rsidRPr="00663703">
              <w:rPr>
                <w:noProof/>
                <w:webHidden/>
                <w:sz w:val="28"/>
                <w:szCs w:val="28"/>
              </w:rPr>
              <w:tab/>
            </w:r>
            <w:r w:rsidR="00663703" w:rsidRPr="00663703">
              <w:rPr>
                <w:noProof/>
                <w:webHidden/>
                <w:sz w:val="28"/>
                <w:szCs w:val="28"/>
              </w:rPr>
              <w:fldChar w:fldCharType="begin"/>
            </w:r>
            <w:r w:rsidR="00663703" w:rsidRPr="00663703">
              <w:rPr>
                <w:noProof/>
                <w:webHidden/>
                <w:sz w:val="28"/>
                <w:szCs w:val="28"/>
              </w:rPr>
              <w:instrText xml:space="preserve"> PAGEREF _Toc489971860 \h </w:instrText>
            </w:r>
            <w:r w:rsidR="00663703" w:rsidRPr="00663703">
              <w:rPr>
                <w:noProof/>
                <w:webHidden/>
                <w:sz w:val="28"/>
                <w:szCs w:val="28"/>
              </w:rPr>
            </w:r>
            <w:r w:rsidR="00663703" w:rsidRPr="00663703">
              <w:rPr>
                <w:noProof/>
                <w:webHidden/>
                <w:sz w:val="28"/>
                <w:szCs w:val="28"/>
              </w:rPr>
              <w:fldChar w:fldCharType="separate"/>
            </w:r>
            <w:r w:rsidR="0039720A">
              <w:rPr>
                <w:noProof/>
                <w:webHidden/>
                <w:sz w:val="28"/>
                <w:szCs w:val="28"/>
              </w:rPr>
              <w:t>7</w:t>
            </w:r>
            <w:r w:rsidR="00663703" w:rsidRPr="00663703">
              <w:rPr>
                <w:noProof/>
                <w:webHidden/>
                <w:sz w:val="28"/>
                <w:szCs w:val="28"/>
              </w:rPr>
              <w:fldChar w:fldCharType="end"/>
            </w:r>
          </w:hyperlink>
        </w:p>
        <w:p w:rsidR="00663703" w:rsidRPr="00663703" w:rsidRDefault="002207AA" w:rsidP="00663703">
          <w:pPr>
            <w:pStyle w:val="TOC1"/>
            <w:tabs>
              <w:tab w:val="right" w:leader="dot" w:pos="9350"/>
            </w:tabs>
            <w:spacing w:before="240"/>
            <w:rPr>
              <w:rFonts w:eastAsiaTheme="minorEastAsia"/>
              <w:noProof/>
              <w:sz w:val="28"/>
              <w:szCs w:val="28"/>
            </w:rPr>
          </w:pPr>
          <w:hyperlink w:anchor="_Toc489971861" w:history="1">
            <w:r w:rsidR="00663703" w:rsidRPr="00663703">
              <w:rPr>
                <w:rStyle w:val="Hyperlink"/>
                <w:noProof/>
                <w:sz w:val="28"/>
                <w:szCs w:val="28"/>
              </w:rPr>
              <w:t>Calls to Law Enforcement per Residential Program</w:t>
            </w:r>
            <w:r w:rsidR="00663703" w:rsidRPr="00663703">
              <w:rPr>
                <w:noProof/>
                <w:webHidden/>
                <w:sz w:val="28"/>
                <w:szCs w:val="28"/>
              </w:rPr>
              <w:tab/>
            </w:r>
            <w:r w:rsidR="00663703" w:rsidRPr="00663703">
              <w:rPr>
                <w:noProof/>
                <w:webHidden/>
                <w:sz w:val="28"/>
                <w:szCs w:val="28"/>
              </w:rPr>
              <w:fldChar w:fldCharType="begin"/>
            </w:r>
            <w:r w:rsidR="00663703" w:rsidRPr="00663703">
              <w:rPr>
                <w:noProof/>
                <w:webHidden/>
                <w:sz w:val="28"/>
                <w:szCs w:val="28"/>
              </w:rPr>
              <w:instrText xml:space="preserve"> PAGEREF _Toc489971861 \h </w:instrText>
            </w:r>
            <w:r w:rsidR="00663703" w:rsidRPr="00663703">
              <w:rPr>
                <w:noProof/>
                <w:webHidden/>
                <w:sz w:val="28"/>
                <w:szCs w:val="28"/>
              </w:rPr>
            </w:r>
            <w:r w:rsidR="00663703" w:rsidRPr="00663703">
              <w:rPr>
                <w:noProof/>
                <w:webHidden/>
                <w:sz w:val="28"/>
                <w:szCs w:val="28"/>
              </w:rPr>
              <w:fldChar w:fldCharType="separate"/>
            </w:r>
            <w:r w:rsidR="0039720A">
              <w:rPr>
                <w:noProof/>
                <w:webHidden/>
                <w:sz w:val="28"/>
                <w:szCs w:val="28"/>
              </w:rPr>
              <w:t>11</w:t>
            </w:r>
            <w:r w:rsidR="00663703" w:rsidRPr="00663703">
              <w:rPr>
                <w:noProof/>
                <w:webHidden/>
                <w:sz w:val="28"/>
                <w:szCs w:val="28"/>
              </w:rPr>
              <w:fldChar w:fldCharType="end"/>
            </w:r>
          </w:hyperlink>
        </w:p>
        <w:p w:rsidR="00663703" w:rsidRPr="00663703" w:rsidRDefault="002207AA" w:rsidP="00663703">
          <w:pPr>
            <w:pStyle w:val="TOC1"/>
            <w:tabs>
              <w:tab w:val="right" w:leader="dot" w:pos="9350"/>
            </w:tabs>
            <w:spacing w:before="240"/>
            <w:rPr>
              <w:rFonts w:eastAsiaTheme="minorEastAsia"/>
              <w:noProof/>
              <w:sz w:val="28"/>
              <w:szCs w:val="28"/>
            </w:rPr>
          </w:pPr>
          <w:hyperlink w:anchor="_Toc489971862" w:history="1">
            <w:r w:rsidR="00663703" w:rsidRPr="00663703">
              <w:rPr>
                <w:rStyle w:val="Hyperlink"/>
                <w:noProof/>
                <w:sz w:val="28"/>
                <w:szCs w:val="28"/>
              </w:rPr>
              <w:t>Reporting Rates of Law Enforcement Calls to DHHS</w:t>
            </w:r>
            <w:r w:rsidR="00663703" w:rsidRPr="00663703">
              <w:rPr>
                <w:noProof/>
                <w:webHidden/>
                <w:sz w:val="28"/>
                <w:szCs w:val="28"/>
              </w:rPr>
              <w:tab/>
            </w:r>
            <w:r w:rsidR="00663703" w:rsidRPr="00663703">
              <w:rPr>
                <w:noProof/>
                <w:webHidden/>
                <w:sz w:val="28"/>
                <w:szCs w:val="28"/>
              </w:rPr>
              <w:fldChar w:fldCharType="begin"/>
            </w:r>
            <w:r w:rsidR="00663703" w:rsidRPr="00663703">
              <w:rPr>
                <w:noProof/>
                <w:webHidden/>
                <w:sz w:val="28"/>
                <w:szCs w:val="28"/>
              </w:rPr>
              <w:instrText xml:space="preserve"> PAGEREF _Toc489971862 \h </w:instrText>
            </w:r>
            <w:r w:rsidR="00663703" w:rsidRPr="00663703">
              <w:rPr>
                <w:noProof/>
                <w:webHidden/>
                <w:sz w:val="28"/>
                <w:szCs w:val="28"/>
              </w:rPr>
            </w:r>
            <w:r w:rsidR="00663703" w:rsidRPr="00663703">
              <w:rPr>
                <w:noProof/>
                <w:webHidden/>
                <w:sz w:val="28"/>
                <w:szCs w:val="28"/>
              </w:rPr>
              <w:fldChar w:fldCharType="separate"/>
            </w:r>
            <w:r w:rsidR="0039720A">
              <w:rPr>
                <w:noProof/>
                <w:webHidden/>
                <w:sz w:val="28"/>
                <w:szCs w:val="28"/>
              </w:rPr>
              <w:t>14</w:t>
            </w:r>
            <w:r w:rsidR="00663703" w:rsidRPr="00663703">
              <w:rPr>
                <w:noProof/>
                <w:webHidden/>
                <w:sz w:val="28"/>
                <w:szCs w:val="28"/>
              </w:rPr>
              <w:fldChar w:fldCharType="end"/>
            </w:r>
          </w:hyperlink>
        </w:p>
        <w:p w:rsidR="00663703" w:rsidRPr="00663703" w:rsidRDefault="002207AA" w:rsidP="00663703">
          <w:pPr>
            <w:pStyle w:val="TOC1"/>
            <w:tabs>
              <w:tab w:val="right" w:leader="dot" w:pos="9350"/>
            </w:tabs>
            <w:spacing w:before="240"/>
            <w:rPr>
              <w:rFonts w:eastAsiaTheme="minorEastAsia"/>
              <w:noProof/>
              <w:sz w:val="28"/>
              <w:szCs w:val="28"/>
            </w:rPr>
          </w:pPr>
          <w:hyperlink w:anchor="_Toc489971863" w:history="1">
            <w:r w:rsidR="00663703" w:rsidRPr="00663703">
              <w:rPr>
                <w:rStyle w:val="Hyperlink"/>
                <w:noProof/>
                <w:sz w:val="28"/>
                <w:szCs w:val="28"/>
              </w:rPr>
              <w:t>Recommendations</w:t>
            </w:r>
            <w:r w:rsidR="00663703" w:rsidRPr="00663703">
              <w:rPr>
                <w:noProof/>
                <w:webHidden/>
                <w:sz w:val="28"/>
                <w:szCs w:val="28"/>
              </w:rPr>
              <w:tab/>
            </w:r>
            <w:r w:rsidR="00663703" w:rsidRPr="00663703">
              <w:rPr>
                <w:noProof/>
                <w:webHidden/>
                <w:sz w:val="28"/>
                <w:szCs w:val="28"/>
              </w:rPr>
              <w:fldChar w:fldCharType="begin"/>
            </w:r>
            <w:r w:rsidR="00663703" w:rsidRPr="00663703">
              <w:rPr>
                <w:noProof/>
                <w:webHidden/>
                <w:sz w:val="28"/>
                <w:szCs w:val="28"/>
              </w:rPr>
              <w:instrText xml:space="preserve"> PAGEREF _Toc489971863 \h </w:instrText>
            </w:r>
            <w:r w:rsidR="00663703" w:rsidRPr="00663703">
              <w:rPr>
                <w:noProof/>
                <w:webHidden/>
                <w:sz w:val="28"/>
                <w:szCs w:val="28"/>
              </w:rPr>
            </w:r>
            <w:r w:rsidR="00663703" w:rsidRPr="00663703">
              <w:rPr>
                <w:noProof/>
                <w:webHidden/>
                <w:sz w:val="28"/>
                <w:szCs w:val="28"/>
              </w:rPr>
              <w:fldChar w:fldCharType="separate"/>
            </w:r>
            <w:r w:rsidR="0039720A">
              <w:rPr>
                <w:noProof/>
                <w:webHidden/>
                <w:sz w:val="28"/>
                <w:szCs w:val="28"/>
              </w:rPr>
              <w:t>16</w:t>
            </w:r>
            <w:r w:rsidR="00663703" w:rsidRPr="00663703">
              <w:rPr>
                <w:noProof/>
                <w:webHidden/>
                <w:sz w:val="28"/>
                <w:szCs w:val="28"/>
              </w:rPr>
              <w:fldChar w:fldCharType="end"/>
            </w:r>
          </w:hyperlink>
        </w:p>
        <w:p w:rsidR="00663703" w:rsidRPr="00663703" w:rsidRDefault="002207AA" w:rsidP="00663703">
          <w:pPr>
            <w:pStyle w:val="TOC1"/>
            <w:tabs>
              <w:tab w:val="right" w:leader="dot" w:pos="9350"/>
            </w:tabs>
            <w:spacing w:before="240"/>
            <w:rPr>
              <w:rFonts w:eastAsiaTheme="minorEastAsia"/>
              <w:noProof/>
              <w:sz w:val="28"/>
              <w:szCs w:val="28"/>
            </w:rPr>
          </w:pPr>
          <w:hyperlink w:anchor="_Toc489971864" w:history="1">
            <w:r w:rsidR="00663703" w:rsidRPr="00663703">
              <w:rPr>
                <w:rStyle w:val="Hyperlink"/>
                <w:noProof/>
                <w:sz w:val="28"/>
                <w:szCs w:val="28"/>
              </w:rPr>
              <w:t>Appendix</w:t>
            </w:r>
            <w:r w:rsidR="00663703" w:rsidRPr="00663703">
              <w:rPr>
                <w:noProof/>
                <w:webHidden/>
                <w:sz w:val="28"/>
                <w:szCs w:val="28"/>
              </w:rPr>
              <w:tab/>
            </w:r>
            <w:r w:rsidR="00663703" w:rsidRPr="00663703">
              <w:rPr>
                <w:noProof/>
                <w:webHidden/>
                <w:sz w:val="28"/>
                <w:szCs w:val="28"/>
              </w:rPr>
              <w:fldChar w:fldCharType="begin"/>
            </w:r>
            <w:r w:rsidR="00663703" w:rsidRPr="00663703">
              <w:rPr>
                <w:noProof/>
                <w:webHidden/>
                <w:sz w:val="28"/>
                <w:szCs w:val="28"/>
              </w:rPr>
              <w:instrText xml:space="preserve"> PAGEREF _Toc489971864 \h </w:instrText>
            </w:r>
            <w:r w:rsidR="00663703" w:rsidRPr="00663703">
              <w:rPr>
                <w:noProof/>
                <w:webHidden/>
                <w:sz w:val="28"/>
                <w:szCs w:val="28"/>
              </w:rPr>
            </w:r>
            <w:r w:rsidR="00663703" w:rsidRPr="00663703">
              <w:rPr>
                <w:noProof/>
                <w:webHidden/>
                <w:sz w:val="28"/>
                <w:szCs w:val="28"/>
              </w:rPr>
              <w:fldChar w:fldCharType="separate"/>
            </w:r>
            <w:r w:rsidR="0039720A">
              <w:rPr>
                <w:noProof/>
                <w:webHidden/>
                <w:sz w:val="28"/>
                <w:szCs w:val="28"/>
              </w:rPr>
              <w:t>19</w:t>
            </w:r>
            <w:r w:rsidR="00663703" w:rsidRPr="00663703">
              <w:rPr>
                <w:noProof/>
                <w:webHidden/>
                <w:sz w:val="28"/>
                <w:szCs w:val="28"/>
              </w:rPr>
              <w:fldChar w:fldCharType="end"/>
            </w:r>
          </w:hyperlink>
        </w:p>
        <w:p w:rsidR="008240BE" w:rsidRDefault="008240BE" w:rsidP="00663703">
          <w:pPr>
            <w:spacing w:before="240"/>
          </w:pPr>
          <w:r w:rsidRPr="00663703">
            <w:rPr>
              <w:b/>
              <w:bCs/>
              <w:noProof/>
              <w:sz w:val="28"/>
              <w:szCs w:val="28"/>
            </w:rPr>
            <w:fldChar w:fldCharType="end"/>
          </w:r>
        </w:p>
      </w:sdtContent>
    </w:sdt>
    <w:p w:rsidR="008240BE" w:rsidRDefault="008240BE">
      <w:pPr>
        <w:rPr>
          <w:rFonts w:asciiTheme="majorHAnsi" w:eastAsiaTheme="majorEastAsia" w:hAnsiTheme="majorHAnsi" w:cstheme="majorBidi"/>
          <w:color w:val="17365D" w:themeColor="text2" w:themeShade="BF"/>
          <w:spacing w:val="5"/>
          <w:kern w:val="28"/>
          <w:sz w:val="52"/>
          <w:szCs w:val="52"/>
        </w:rPr>
      </w:pPr>
      <w:r>
        <w:br w:type="page"/>
      </w:r>
    </w:p>
    <w:p w:rsidR="008240BE" w:rsidRDefault="008240BE">
      <w:pPr>
        <w:rPr>
          <w:rFonts w:asciiTheme="majorHAnsi" w:eastAsiaTheme="majorEastAsia" w:hAnsiTheme="majorHAnsi" w:cstheme="majorBidi"/>
          <w:color w:val="17365D" w:themeColor="text2" w:themeShade="BF"/>
          <w:spacing w:val="5"/>
          <w:kern w:val="28"/>
          <w:sz w:val="52"/>
          <w:szCs w:val="52"/>
        </w:rPr>
      </w:pPr>
      <w:r>
        <w:lastRenderedPageBreak/>
        <w:br w:type="page"/>
      </w:r>
    </w:p>
    <w:p w:rsidR="008240BE" w:rsidRDefault="008240BE" w:rsidP="00F837C4">
      <w:pPr>
        <w:pStyle w:val="Heading1"/>
        <w:sectPr w:rsidR="008240BE" w:rsidSect="008240BE">
          <w:type w:val="continuous"/>
          <w:pgSz w:w="12240" w:h="15840"/>
          <w:pgMar w:top="1440" w:right="1440" w:bottom="1440" w:left="1440" w:header="720" w:footer="720" w:gutter="0"/>
          <w:cols w:space="720"/>
          <w:docGrid w:linePitch="360"/>
        </w:sectPr>
      </w:pPr>
    </w:p>
    <w:p w:rsidR="00187480" w:rsidRPr="00663703" w:rsidRDefault="00187480" w:rsidP="00663703">
      <w:pPr>
        <w:pStyle w:val="Heading1"/>
      </w:pPr>
      <w:bookmarkStart w:id="1" w:name="_Toc489971858"/>
      <w:r w:rsidRPr="00663703">
        <w:lastRenderedPageBreak/>
        <w:t>Introduction</w:t>
      </w:r>
      <w:bookmarkEnd w:id="1"/>
    </w:p>
    <w:p w:rsidR="00380A96" w:rsidRDefault="007409BC" w:rsidP="000C3590">
      <w:pPr>
        <w:pStyle w:val="NoSpacing"/>
        <w:rPr>
          <w:sz w:val="28"/>
        </w:rPr>
      </w:pPr>
      <w:r>
        <w:rPr>
          <w:sz w:val="28"/>
        </w:rPr>
        <w:t>Disability Rights Maine</w:t>
      </w:r>
      <w:r w:rsidR="00254E5C">
        <w:rPr>
          <w:sz w:val="28"/>
        </w:rPr>
        <w:t xml:space="preserve"> (“DRM”)</w:t>
      </w:r>
      <w:r w:rsidR="002F3DBC">
        <w:rPr>
          <w:sz w:val="28"/>
        </w:rPr>
        <w:t xml:space="preserve"> produced this report as part of </w:t>
      </w:r>
      <w:r w:rsidR="00BD77C9">
        <w:rPr>
          <w:sz w:val="28"/>
        </w:rPr>
        <w:t>an effort</w:t>
      </w:r>
      <w:r w:rsidR="00254E5C">
        <w:rPr>
          <w:sz w:val="28"/>
        </w:rPr>
        <w:t xml:space="preserve"> to understand why</w:t>
      </w:r>
      <w:r w:rsidR="00012B48">
        <w:rPr>
          <w:sz w:val="28"/>
        </w:rPr>
        <w:t xml:space="preserve"> Maine’s youth</w:t>
      </w:r>
      <w:r w:rsidR="00254E5C">
        <w:rPr>
          <w:sz w:val="28"/>
        </w:rPr>
        <w:t xml:space="preserve"> with </w:t>
      </w:r>
      <w:r w:rsidR="00E24D74">
        <w:rPr>
          <w:sz w:val="28"/>
        </w:rPr>
        <w:t>disabilities</w:t>
      </w:r>
      <w:r w:rsidR="00254E5C">
        <w:rPr>
          <w:sz w:val="28"/>
        </w:rPr>
        <w:t xml:space="preserve"> are disproportionately arrested, criminally charged, and incarcerated</w:t>
      </w:r>
      <w:r w:rsidR="00F837C4">
        <w:rPr>
          <w:sz w:val="28"/>
        </w:rPr>
        <w:t xml:space="preserve">.  </w:t>
      </w:r>
      <w:r w:rsidR="00254E5C">
        <w:rPr>
          <w:sz w:val="28"/>
        </w:rPr>
        <w:t xml:space="preserve">This </w:t>
      </w:r>
      <w:r w:rsidR="002F3DBC">
        <w:rPr>
          <w:sz w:val="28"/>
        </w:rPr>
        <w:t>effort began when</w:t>
      </w:r>
      <w:r w:rsidR="00254E5C">
        <w:rPr>
          <w:sz w:val="28"/>
        </w:rPr>
        <w:t xml:space="preserve"> the Maine Department of Corrections (“DOC”)</w:t>
      </w:r>
      <w:r w:rsidR="002F3DBC">
        <w:rPr>
          <w:sz w:val="28"/>
        </w:rPr>
        <w:t xml:space="preserve"> issued a report indicating</w:t>
      </w:r>
      <w:r w:rsidR="00BD77C9">
        <w:rPr>
          <w:sz w:val="28"/>
        </w:rPr>
        <w:t xml:space="preserve"> </w:t>
      </w:r>
      <w:r w:rsidR="00254E5C">
        <w:rPr>
          <w:sz w:val="28"/>
        </w:rPr>
        <w:t xml:space="preserve">that as of July </w:t>
      </w:r>
      <w:proofErr w:type="gramStart"/>
      <w:r>
        <w:rPr>
          <w:sz w:val="28"/>
        </w:rPr>
        <w:t>2016,</w:t>
      </w:r>
      <w:proofErr w:type="gramEnd"/>
      <w:r>
        <w:rPr>
          <w:sz w:val="28"/>
        </w:rPr>
        <w:t xml:space="preserve"> </w:t>
      </w:r>
      <w:r w:rsidR="00254E5C">
        <w:rPr>
          <w:sz w:val="28"/>
        </w:rPr>
        <w:t xml:space="preserve">approximately one third of the youth </w:t>
      </w:r>
      <w:r w:rsidR="002F3DBC">
        <w:rPr>
          <w:sz w:val="28"/>
        </w:rPr>
        <w:t xml:space="preserve">committed to </w:t>
      </w:r>
      <w:r w:rsidR="00254E5C">
        <w:rPr>
          <w:sz w:val="28"/>
        </w:rPr>
        <w:t>Long Creek Youth Development Center (“Long Creek”) had come directly from residential mental health treatment programs.</w:t>
      </w:r>
      <w:r w:rsidR="00254E5C">
        <w:rPr>
          <w:rStyle w:val="FootnoteReference"/>
          <w:sz w:val="28"/>
        </w:rPr>
        <w:footnoteReference w:id="1"/>
      </w:r>
    </w:p>
    <w:p w:rsidR="00380A96" w:rsidRPr="005E503A" w:rsidRDefault="00380A96" w:rsidP="0030055D">
      <w:pPr>
        <w:pStyle w:val="Subtitle"/>
        <w:rPr>
          <w:rStyle w:val="Emphasis"/>
          <w:rFonts w:asciiTheme="minorHAnsi" w:hAnsiTheme="minorHAnsi"/>
          <w:i/>
          <w:iCs/>
          <w:color w:val="365F91" w:themeColor="accent1" w:themeShade="BF"/>
        </w:rPr>
      </w:pPr>
      <w:r w:rsidRPr="005E503A">
        <w:rPr>
          <w:rStyle w:val="Emphasis"/>
          <w:rFonts w:asciiTheme="minorHAnsi" w:hAnsiTheme="minorHAnsi"/>
          <w:i/>
          <w:iCs/>
          <w:color w:val="365F91" w:themeColor="accent1" w:themeShade="BF"/>
        </w:rPr>
        <w:t>“The cost of incarcerating our youth is astronomical</w:t>
      </w:r>
      <w:r w:rsidR="00F837C4" w:rsidRPr="005E503A">
        <w:rPr>
          <w:rStyle w:val="Emphasis"/>
          <w:rFonts w:asciiTheme="minorHAnsi" w:hAnsiTheme="minorHAnsi"/>
          <w:i/>
          <w:iCs/>
          <w:color w:val="365F91" w:themeColor="accent1" w:themeShade="BF"/>
        </w:rPr>
        <w:t xml:space="preserve">.  </w:t>
      </w:r>
      <w:r w:rsidRPr="005E503A">
        <w:rPr>
          <w:rStyle w:val="Emphasis"/>
          <w:rFonts w:asciiTheme="minorHAnsi" w:hAnsiTheme="minorHAnsi"/>
          <w:i/>
          <w:iCs/>
          <w:color w:val="365F91" w:themeColor="accent1" w:themeShade="BF"/>
        </w:rPr>
        <w:t>The cost of incarcerating our youth due to mental illness is inexcusable.”</w:t>
      </w:r>
      <w:r w:rsidRPr="005E503A">
        <w:rPr>
          <w:rStyle w:val="FootnoteReference"/>
          <w:rFonts w:asciiTheme="minorHAnsi" w:hAnsiTheme="minorHAnsi"/>
          <w:color w:val="365F91" w:themeColor="accent1" w:themeShade="BF"/>
        </w:rPr>
        <w:footnoteReference w:id="2"/>
      </w:r>
    </w:p>
    <w:p w:rsidR="005E15A0" w:rsidRDefault="00CA150C" w:rsidP="000C3590">
      <w:pPr>
        <w:pStyle w:val="NoSpacing"/>
        <w:rPr>
          <w:sz w:val="28"/>
        </w:rPr>
      </w:pPr>
      <w:r>
        <w:rPr>
          <w:sz w:val="28"/>
        </w:rPr>
        <w:t>As DRM</w:t>
      </w:r>
      <w:r w:rsidR="00254E5C">
        <w:rPr>
          <w:sz w:val="28"/>
        </w:rPr>
        <w:t xml:space="preserve"> </w:t>
      </w:r>
      <w:r w:rsidR="002F3DBC">
        <w:rPr>
          <w:sz w:val="28"/>
        </w:rPr>
        <w:t>explored</w:t>
      </w:r>
      <w:r w:rsidR="005E15A0">
        <w:rPr>
          <w:sz w:val="28"/>
        </w:rPr>
        <w:t xml:space="preserve"> this </w:t>
      </w:r>
      <w:r w:rsidR="00581B49">
        <w:rPr>
          <w:sz w:val="28"/>
        </w:rPr>
        <w:t>issue</w:t>
      </w:r>
      <w:r w:rsidR="005E15A0">
        <w:rPr>
          <w:sz w:val="28"/>
        </w:rPr>
        <w:t xml:space="preserve">, </w:t>
      </w:r>
      <w:r>
        <w:rPr>
          <w:sz w:val="28"/>
        </w:rPr>
        <w:t>it became clear</w:t>
      </w:r>
      <w:r w:rsidR="005E15A0">
        <w:rPr>
          <w:sz w:val="28"/>
        </w:rPr>
        <w:t xml:space="preserve"> that law enforcement</w:t>
      </w:r>
      <w:r w:rsidR="00254E5C">
        <w:rPr>
          <w:sz w:val="28"/>
        </w:rPr>
        <w:t xml:space="preserve"> calls from these residential treatment programs </w:t>
      </w:r>
      <w:r w:rsidR="00B365AE">
        <w:rPr>
          <w:sz w:val="28"/>
        </w:rPr>
        <w:t>often resulted</w:t>
      </w:r>
      <w:r w:rsidR="00736604">
        <w:rPr>
          <w:sz w:val="28"/>
        </w:rPr>
        <w:t xml:space="preserve"> from</w:t>
      </w:r>
      <w:r w:rsidR="00254E5C">
        <w:rPr>
          <w:sz w:val="28"/>
        </w:rPr>
        <w:t xml:space="preserve"> behaviors that were</w:t>
      </w:r>
      <w:r w:rsidR="00CE2DC3">
        <w:rPr>
          <w:sz w:val="28"/>
        </w:rPr>
        <w:t xml:space="preserve"> likely</w:t>
      </w:r>
      <w:r w:rsidR="00254E5C">
        <w:rPr>
          <w:sz w:val="28"/>
        </w:rPr>
        <w:t xml:space="preserve"> </w:t>
      </w:r>
      <w:r w:rsidR="00581B49">
        <w:rPr>
          <w:sz w:val="28"/>
        </w:rPr>
        <w:t>manifestations</w:t>
      </w:r>
      <w:r w:rsidR="007409BC">
        <w:rPr>
          <w:sz w:val="28"/>
        </w:rPr>
        <w:t xml:space="preserve"> of</w:t>
      </w:r>
      <w:r w:rsidR="00254E5C">
        <w:rPr>
          <w:sz w:val="28"/>
        </w:rPr>
        <w:t xml:space="preserve"> the disabilities for which the </w:t>
      </w:r>
      <w:r w:rsidR="00B365AE">
        <w:rPr>
          <w:sz w:val="28"/>
        </w:rPr>
        <w:t>youth</w:t>
      </w:r>
      <w:r w:rsidR="00254E5C">
        <w:rPr>
          <w:sz w:val="28"/>
        </w:rPr>
        <w:t xml:space="preserve"> were being treated. </w:t>
      </w:r>
    </w:p>
    <w:p w:rsidR="005E15A0" w:rsidRDefault="005E15A0" w:rsidP="000C3590">
      <w:pPr>
        <w:pStyle w:val="NoSpacing"/>
        <w:rPr>
          <w:sz w:val="28"/>
        </w:rPr>
      </w:pPr>
    </w:p>
    <w:p w:rsidR="00254E5C" w:rsidRDefault="002F3DBC" w:rsidP="000C3590">
      <w:pPr>
        <w:pStyle w:val="NoSpacing"/>
        <w:rPr>
          <w:sz w:val="28"/>
        </w:rPr>
      </w:pPr>
      <w:r>
        <w:rPr>
          <w:sz w:val="28"/>
        </w:rPr>
        <w:t xml:space="preserve">This report is based on data </w:t>
      </w:r>
      <w:r w:rsidR="00CA150C">
        <w:rPr>
          <w:sz w:val="28"/>
        </w:rPr>
        <w:t xml:space="preserve">DRM </w:t>
      </w:r>
      <w:r w:rsidR="00254E5C">
        <w:rPr>
          <w:sz w:val="28"/>
        </w:rPr>
        <w:t>received fro</w:t>
      </w:r>
      <w:r w:rsidR="005E15A0">
        <w:rPr>
          <w:sz w:val="28"/>
        </w:rPr>
        <w:t>m law enforcement agencies</w:t>
      </w:r>
      <w:r w:rsidR="00254E5C">
        <w:rPr>
          <w:sz w:val="28"/>
        </w:rPr>
        <w:t xml:space="preserve"> and Department of Health and Human Services (DHHS) reports</w:t>
      </w:r>
      <w:r w:rsidR="00F837C4">
        <w:rPr>
          <w:sz w:val="28"/>
        </w:rPr>
        <w:t xml:space="preserve">.  </w:t>
      </w:r>
      <w:r w:rsidR="00BD77C9">
        <w:rPr>
          <w:sz w:val="28"/>
        </w:rPr>
        <w:t>It</w:t>
      </w:r>
      <w:r>
        <w:rPr>
          <w:sz w:val="28"/>
        </w:rPr>
        <w:t xml:space="preserve"> </w:t>
      </w:r>
      <w:r w:rsidR="00254E5C">
        <w:rPr>
          <w:sz w:val="28"/>
        </w:rPr>
        <w:t>provide</w:t>
      </w:r>
      <w:r>
        <w:rPr>
          <w:sz w:val="28"/>
        </w:rPr>
        <w:t>s</w:t>
      </w:r>
      <w:r w:rsidR="00254E5C">
        <w:rPr>
          <w:sz w:val="28"/>
        </w:rPr>
        <w:t xml:space="preserve"> an analysis of that data</w:t>
      </w:r>
      <w:r w:rsidR="007B79B5">
        <w:rPr>
          <w:sz w:val="28"/>
        </w:rPr>
        <w:t xml:space="preserve"> </w:t>
      </w:r>
      <w:r w:rsidR="00254E5C">
        <w:rPr>
          <w:sz w:val="28"/>
        </w:rPr>
        <w:t>and suggest</w:t>
      </w:r>
      <w:r>
        <w:rPr>
          <w:sz w:val="28"/>
        </w:rPr>
        <w:t>s</w:t>
      </w:r>
      <w:r w:rsidR="00254E5C">
        <w:rPr>
          <w:sz w:val="28"/>
        </w:rPr>
        <w:t xml:space="preserve"> some opportunities for reform</w:t>
      </w:r>
      <w:r w:rsidR="00F837C4">
        <w:rPr>
          <w:sz w:val="28"/>
        </w:rPr>
        <w:t xml:space="preserve">.  </w:t>
      </w:r>
      <w:r w:rsidR="00254E5C">
        <w:rPr>
          <w:sz w:val="28"/>
        </w:rPr>
        <w:t xml:space="preserve">As the </w:t>
      </w:r>
      <w:r w:rsidR="006252C8">
        <w:rPr>
          <w:sz w:val="28"/>
        </w:rPr>
        <w:t>P</w:t>
      </w:r>
      <w:r w:rsidR="00254E5C">
        <w:rPr>
          <w:sz w:val="28"/>
        </w:rPr>
        <w:t xml:space="preserve">rotection and </w:t>
      </w:r>
      <w:r w:rsidR="006252C8">
        <w:rPr>
          <w:sz w:val="28"/>
        </w:rPr>
        <w:t>A</w:t>
      </w:r>
      <w:r w:rsidR="00254E5C">
        <w:rPr>
          <w:sz w:val="28"/>
        </w:rPr>
        <w:t xml:space="preserve">dvocacy (P&amp;A) agency for people with disabilities in Maine, </w:t>
      </w:r>
      <w:r>
        <w:rPr>
          <w:sz w:val="28"/>
        </w:rPr>
        <w:t xml:space="preserve">DRM </w:t>
      </w:r>
      <w:r w:rsidR="00254E5C">
        <w:rPr>
          <w:sz w:val="28"/>
        </w:rPr>
        <w:t>believe</w:t>
      </w:r>
      <w:r>
        <w:rPr>
          <w:sz w:val="28"/>
        </w:rPr>
        <w:t>s</w:t>
      </w:r>
      <w:r w:rsidR="00254E5C">
        <w:rPr>
          <w:sz w:val="28"/>
        </w:rPr>
        <w:t xml:space="preserve"> that all </w:t>
      </w:r>
      <w:r w:rsidR="00E24D74">
        <w:rPr>
          <w:sz w:val="28"/>
        </w:rPr>
        <w:t xml:space="preserve">youth </w:t>
      </w:r>
      <w:r w:rsidR="00254E5C">
        <w:rPr>
          <w:sz w:val="28"/>
        </w:rPr>
        <w:t xml:space="preserve">with </w:t>
      </w:r>
      <w:r w:rsidR="00581B49">
        <w:rPr>
          <w:sz w:val="28"/>
        </w:rPr>
        <w:t>disabilities</w:t>
      </w:r>
      <w:r w:rsidR="00254E5C">
        <w:rPr>
          <w:sz w:val="28"/>
        </w:rPr>
        <w:t xml:space="preserve"> have the right to appropriate and effective treatment in the least restrictive setting – which is rarely, if ever, a correctional setting</w:t>
      </w:r>
      <w:r w:rsidR="00F837C4">
        <w:rPr>
          <w:sz w:val="28"/>
        </w:rPr>
        <w:t xml:space="preserve">.  </w:t>
      </w:r>
      <w:r>
        <w:rPr>
          <w:sz w:val="28"/>
        </w:rPr>
        <w:t xml:space="preserve">DRM is hopeful that </w:t>
      </w:r>
      <w:r w:rsidR="00254E5C">
        <w:rPr>
          <w:sz w:val="28"/>
        </w:rPr>
        <w:t xml:space="preserve">this report </w:t>
      </w:r>
      <w:r>
        <w:rPr>
          <w:sz w:val="28"/>
        </w:rPr>
        <w:t xml:space="preserve">will </w:t>
      </w:r>
      <w:r w:rsidR="00254E5C">
        <w:rPr>
          <w:sz w:val="28"/>
        </w:rPr>
        <w:t xml:space="preserve">help advance the conversation about how to </w:t>
      </w:r>
      <w:r>
        <w:rPr>
          <w:sz w:val="28"/>
        </w:rPr>
        <w:t xml:space="preserve">keep youth with </w:t>
      </w:r>
      <w:r w:rsidR="006E53F5">
        <w:rPr>
          <w:sz w:val="28"/>
        </w:rPr>
        <w:t xml:space="preserve">behavioral </w:t>
      </w:r>
      <w:r>
        <w:rPr>
          <w:sz w:val="28"/>
        </w:rPr>
        <w:t xml:space="preserve">health needs in </w:t>
      </w:r>
      <w:r w:rsidR="00B365AE">
        <w:rPr>
          <w:sz w:val="28"/>
        </w:rPr>
        <w:t>the community</w:t>
      </w:r>
      <w:r>
        <w:rPr>
          <w:sz w:val="28"/>
        </w:rPr>
        <w:t>, and out of the juvenile justice system</w:t>
      </w:r>
      <w:r w:rsidR="00BA75F7">
        <w:rPr>
          <w:sz w:val="28"/>
        </w:rPr>
        <w:t>.</w:t>
      </w:r>
    </w:p>
    <w:p w:rsidR="00254E5C" w:rsidRDefault="00254E5C" w:rsidP="000C3590">
      <w:pPr>
        <w:pStyle w:val="NoSpacing"/>
        <w:rPr>
          <w:sz w:val="28"/>
        </w:rPr>
      </w:pPr>
    </w:p>
    <w:p w:rsidR="00C93242" w:rsidRDefault="00254E5C" w:rsidP="006E53F5">
      <w:pPr>
        <w:pStyle w:val="NoSpacing"/>
        <w:rPr>
          <w:sz w:val="28"/>
        </w:rPr>
      </w:pPr>
      <w:r>
        <w:rPr>
          <w:sz w:val="28"/>
        </w:rPr>
        <w:t xml:space="preserve">To understand the problem, it is helpful to have some information on the continuum of care for youth with </w:t>
      </w:r>
      <w:r w:rsidR="00581B49">
        <w:rPr>
          <w:sz w:val="28"/>
        </w:rPr>
        <w:t>disabilities</w:t>
      </w:r>
      <w:r>
        <w:rPr>
          <w:sz w:val="28"/>
        </w:rPr>
        <w:t xml:space="preserve"> in Maine</w:t>
      </w:r>
      <w:r w:rsidR="00F837C4">
        <w:rPr>
          <w:sz w:val="28"/>
        </w:rPr>
        <w:t xml:space="preserve">.  </w:t>
      </w:r>
      <w:r w:rsidR="00DC4348">
        <w:rPr>
          <w:sz w:val="28"/>
        </w:rPr>
        <w:t xml:space="preserve">Federal and state </w:t>
      </w:r>
      <w:r w:rsidR="005E15A0">
        <w:rPr>
          <w:sz w:val="28"/>
        </w:rPr>
        <w:t>laws require</w:t>
      </w:r>
      <w:r w:rsidR="00DC4348">
        <w:rPr>
          <w:sz w:val="28"/>
        </w:rPr>
        <w:t xml:space="preserve"> that treatment be delivered to youth and their families in the least </w:t>
      </w:r>
      <w:r w:rsidR="00DC4348">
        <w:rPr>
          <w:sz w:val="28"/>
        </w:rPr>
        <w:lastRenderedPageBreak/>
        <w:t>restrictive setting.</w:t>
      </w:r>
      <w:r w:rsidR="00DC4348">
        <w:rPr>
          <w:rStyle w:val="FootnoteReference"/>
          <w:sz w:val="28"/>
        </w:rPr>
        <w:footnoteReference w:id="3"/>
      </w:r>
      <w:r w:rsidR="00DC4348">
        <w:rPr>
          <w:sz w:val="28"/>
        </w:rPr>
        <w:t xml:space="preserve">  </w:t>
      </w:r>
      <w:r w:rsidR="000C3590">
        <w:rPr>
          <w:sz w:val="28"/>
        </w:rPr>
        <w:t>Intensive Temporary Residential Treatment programs</w:t>
      </w:r>
      <w:r w:rsidR="00DC4348">
        <w:rPr>
          <w:sz w:val="28"/>
        </w:rPr>
        <w:t xml:space="preserve"> (“residential programs”)</w:t>
      </w:r>
      <w:r w:rsidR="000C3590">
        <w:rPr>
          <w:sz w:val="28"/>
        </w:rPr>
        <w:t xml:space="preserve"> provide “twenty-four (24) hour per day, seven (7) day per week structure and supportive living environment and active behavioral treatment, as developed in a treatment plan.”</w:t>
      </w:r>
      <w:r w:rsidR="00DC4348">
        <w:rPr>
          <w:rStyle w:val="FootnoteReference"/>
          <w:sz w:val="28"/>
        </w:rPr>
        <w:footnoteReference w:id="4"/>
      </w:r>
      <w:r w:rsidR="000C3590">
        <w:rPr>
          <w:sz w:val="28"/>
        </w:rPr>
        <w:t xml:space="preserve">  </w:t>
      </w:r>
      <w:r w:rsidR="00CA63A8">
        <w:rPr>
          <w:sz w:val="28"/>
        </w:rPr>
        <w:t xml:space="preserve">In order to justify treating a </w:t>
      </w:r>
      <w:r w:rsidR="00581B49">
        <w:rPr>
          <w:sz w:val="28"/>
        </w:rPr>
        <w:t>youth</w:t>
      </w:r>
      <w:r w:rsidR="00CA63A8">
        <w:rPr>
          <w:sz w:val="28"/>
        </w:rPr>
        <w:t xml:space="preserve"> in this out-of-home setting, </w:t>
      </w:r>
      <w:r w:rsidR="00C93242">
        <w:rPr>
          <w:sz w:val="28"/>
        </w:rPr>
        <w:t xml:space="preserve">Maine </w:t>
      </w:r>
      <w:r w:rsidR="00663BCB">
        <w:rPr>
          <w:sz w:val="28"/>
        </w:rPr>
        <w:t>regulations explicitly</w:t>
      </w:r>
      <w:r w:rsidR="00505EB0">
        <w:rPr>
          <w:sz w:val="28"/>
        </w:rPr>
        <w:t xml:space="preserve"> require that there be</w:t>
      </w:r>
      <w:r w:rsidR="00755685">
        <w:rPr>
          <w:sz w:val="28"/>
        </w:rPr>
        <w:t xml:space="preserve"> </w:t>
      </w:r>
      <w:r w:rsidR="00505EB0">
        <w:rPr>
          <w:sz w:val="28"/>
        </w:rPr>
        <w:t xml:space="preserve">a </w:t>
      </w:r>
      <w:r w:rsidR="00755685">
        <w:rPr>
          <w:sz w:val="28"/>
        </w:rPr>
        <w:t>“significant potential that the child will be hospitalized, or there is a clear indication that the child’s condition would significantly deteriorate and would require a higher model of service than can be provided in the home and community.</w:t>
      </w:r>
      <w:r w:rsidR="00505EB0">
        <w:rPr>
          <w:sz w:val="28"/>
        </w:rPr>
        <w:t>”</w:t>
      </w:r>
      <w:r w:rsidR="00CA63A8">
        <w:rPr>
          <w:rStyle w:val="FootnoteReference"/>
          <w:sz w:val="28"/>
        </w:rPr>
        <w:footnoteReference w:id="5"/>
      </w:r>
      <w:r w:rsidR="00505EB0">
        <w:rPr>
          <w:sz w:val="28"/>
        </w:rPr>
        <w:t xml:space="preserve">  </w:t>
      </w:r>
      <w:r w:rsidR="00C93242">
        <w:rPr>
          <w:sz w:val="28"/>
        </w:rPr>
        <w:t>A</w:t>
      </w:r>
      <w:r w:rsidR="00C93242" w:rsidRPr="00C93242">
        <w:rPr>
          <w:sz w:val="28"/>
        </w:rPr>
        <w:t xml:space="preserve"> youth must </w:t>
      </w:r>
      <w:r w:rsidR="00C93242">
        <w:rPr>
          <w:sz w:val="28"/>
        </w:rPr>
        <w:t xml:space="preserve">also </w:t>
      </w:r>
      <w:r w:rsidR="00C93242" w:rsidRPr="00C93242">
        <w:rPr>
          <w:sz w:val="28"/>
        </w:rPr>
        <w:t xml:space="preserve">meet </w:t>
      </w:r>
      <w:r w:rsidR="00B90B73">
        <w:rPr>
          <w:sz w:val="28"/>
        </w:rPr>
        <w:t>additional</w:t>
      </w:r>
      <w:r w:rsidR="00C93242" w:rsidRPr="00C93242">
        <w:rPr>
          <w:sz w:val="28"/>
        </w:rPr>
        <w:t xml:space="preserve"> criteria</w:t>
      </w:r>
      <w:r w:rsidR="00265A5E">
        <w:rPr>
          <w:sz w:val="28"/>
        </w:rPr>
        <w:t>,</w:t>
      </w:r>
      <w:r w:rsidR="00C93242" w:rsidRPr="00C93242">
        <w:rPr>
          <w:sz w:val="28"/>
        </w:rPr>
        <w:t xml:space="preserve"> including an Axis I or II diagnosis from the most current version of the </w:t>
      </w:r>
      <w:r w:rsidR="00B85754">
        <w:rPr>
          <w:sz w:val="28"/>
        </w:rPr>
        <w:t>Diagnostic and Statistical Manual (“DSM”)</w:t>
      </w:r>
      <w:r w:rsidR="00C93242" w:rsidRPr="00C93242">
        <w:rPr>
          <w:sz w:val="28"/>
        </w:rPr>
        <w:t xml:space="preserve"> that has </w:t>
      </w:r>
      <w:r w:rsidR="008F1823">
        <w:rPr>
          <w:sz w:val="28"/>
        </w:rPr>
        <w:t xml:space="preserve">lasted </w:t>
      </w:r>
      <w:r w:rsidR="00C93242" w:rsidRPr="00C93242">
        <w:rPr>
          <w:sz w:val="28"/>
        </w:rPr>
        <w:t>for at least six (6) months or is expected t</w:t>
      </w:r>
      <w:r w:rsidR="00B90B73">
        <w:rPr>
          <w:sz w:val="28"/>
        </w:rPr>
        <w:t>o last one year in the future</w:t>
      </w:r>
      <w:r w:rsidR="00B365AE">
        <w:rPr>
          <w:sz w:val="28"/>
        </w:rPr>
        <w:t>;</w:t>
      </w:r>
      <w:r w:rsidR="00B90B73">
        <w:rPr>
          <w:sz w:val="28"/>
        </w:rPr>
        <w:t xml:space="preserve"> and </w:t>
      </w:r>
      <w:r w:rsidR="003F23AC">
        <w:rPr>
          <w:sz w:val="28"/>
        </w:rPr>
        <w:t xml:space="preserve">must exhibit a </w:t>
      </w:r>
      <w:r w:rsidR="00C93242" w:rsidRPr="00C93242">
        <w:rPr>
          <w:sz w:val="28"/>
        </w:rPr>
        <w:t>need for “therapeutic treatment or a</w:t>
      </w:r>
      <w:r w:rsidR="008F1823">
        <w:rPr>
          <w:sz w:val="28"/>
        </w:rPr>
        <w:t>vailability of a therapeutic on</w:t>
      </w:r>
      <w:r w:rsidR="00C93242" w:rsidRPr="00C93242">
        <w:rPr>
          <w:sz w:val="28"/>
        </w:rPr>
        <w:t>-site staff response on a 24 hour basis.”</w:t>
      </w:r>
      <w:r w:rsidR="00265A5E">
        <w:rPr>
          <w:rStyle w:val="FootnoteReference"/>
          <w:sz w:val="28"/>
        </w:rPr>
        <w:footnoteReference w:id="6"/>
      </w:r>
      <w:r w:rsidR="00F837C4" w:rsidRPr="00C93242">
        <w:rPr>
          <w:sz w:val="28"/>
        </w:rPr>
        <w:t xml:space="preserve">  </w:t>
      </w:r>
      <w:r w:rsidR="006E53F5">
        <w:rPr>
          <w:sz w:val="28"/>
        </w:rPr>
        <w:t>Moreover, eligibility criteria for this service include “</w:t>
      </w:r>
      <w:r w:rsidR="001D2281">
        <w:rPr>
          <w:sz w:val="28"/>
        </w:rPr>
        <w:t>[s]</w:t>
      </w:r>
      <w:proofErr w:type="spellStart"/>
      <w:r w:rsidR="006E53F5" w:rsidRPr="006E53F5">
        <w:rPr>
          <w:sz w:val="28"/>
        </w:rPr>
        <w:t>ignificant</w:t>
      </w:r>
      <w:proofErr w:type="spellEnd"/>
      <w:r w:rsidR="006E53F5" w:rsidRPr="006E53F5">
        <w:rPr>
          <w:sz w:val="28"/>
        </w:rPr>
        <w:t xml:space="preserve"> recent aggression across multiple environments or severe enough within one environment to have caused serious injury or there is significant potential of serio</w:t>
      </w:r>
      <w:r w:rsidR="001D2281">
        <w:rPr>
          <w:sz w:val="28"/>
        </w:rPr>
        <w:t>us injury to self or others; or r</w:t>
      </w:r>
      <w:r w:rsidR="006E53F5" w:rsidRPr="006E53F5">
        <w:rPr>
          <w:sz w:val="28"/>
        </w:rPr>
        <w:t>ecent homicidal ideation with risk of harm to o</w:t>
      </w:r>
      <w:r w:rsidR="001D2281">
        <w:rPr>
          <w:sz w:val="28"/>
        </w:rPr>
        <w:t>thers, or r</w:t>
      </w:r>
      <w:r w:rsidR="006E53F5" w:rsidRPr="006E53F5">
        <w:rPr>
          <w:sz w:val="28"/>
        </w:rPr>
        <w:t>ecent suicidal ideation with risk of harm to self</w:t>
      </w:r>
      <w:r w:rsidR="001D2281">
        <w:rPr>
          <w:sz w:val="28"/>
        </w:rPr>
        <w:t>,” among other behaviors.</w:t>
      </w:r>
      <w:r w:rsidR="00377A97">
        <w:rPr>
          <w:rStyle w:val="FootnoteReference"/>
          <w:sz w:val="28"/>
        </w:rPr>
        <w:footnoteReference w:id="7"/>
      </w:r>
    </w:p>
    <w:p w:rsidR="00EB404F" w:rsidRDefault="00EB404F" w:rsidP="00EB404F">
      <w:pPr>
        <w:pStyle w:val="NoSpacing"/>
        <w:rPr>
          <w:sz w:val="28"/>
        </w:rPr>
      </w:pPr>
    </w:p>
    <w:p w:rsidR="00EB404F" w:rsidRPr="00EB404F" w:rsidRDefault="00EB404F" w:rsidP="00EB404F">
      <w:pPr>
        <w:pStyle w:val="NoSpacing"/>
        <w:rPr>
          <w:sz w:val="28"/>
        </w:rPr>
      </w:pPr>
      <w:r w:rsidRPr="00EB404F">
        <w:rPr>
          <w:sz w:val="28"/>
        </w:rPr>
        <w:t>These services are mostly funded through Medicaid</w:t>
      </w:r>
      <w:r w:rsidR="00CE2DC3">
        <w:rPr>
          <w:sz w:val="28"/>
        </w:rPr>
        <w:t xml:space="preserve"> (“</w:t>
      </w:r>
      <w:r w:rsidR="00B365AE">
        <w:rPr>
          <w:sz w:val="28"/>
        </w:rPr>
        <w:t>MaineCare”)</w:t>
      </w:r>
      <w:r w:rsidRPr="00EB404F">
        <w:rPr>
          <w:sz w:val="28"/>
        </w:rPr>
        <w:t xml:space="preserve"> and </w:t>
      </w:r>
      <w:r w:rsidR="005E15A0">
        <w:rPr>
          <w:sz w:val="28"/>
        </w:rPr>
        <w:t>DHHS</w:t>
      </w:r>
      <w:r w:rsidR="006252C8">
        <w:rPr>
          <w:sz w:val="28"/>
        </w:rPr>
        <w:t xml:space="preserve"> </w:t>
      </w:r>
      <w:r w:rsidR="007B297E">
        <w:rPr>
          <w:sz w:val="28"/>
        </w:rPr>
        <w:t xml:space="preserve">currently </w:t>
      </w:r>
      <w:r w:rsidR="006252C8">
        <w:rPr>
          <w:sz w:val="28"/>
        </w:rPr>
        <w:t xml:space="preserve">contracts with </w:t>
      </w:r>
      <w:r w:rsidR="00665B06">
        <w:rPr>
          <w:sz w:val="28"/>
        </w:rPr>
        <w:t>eight</w:t>
      </w:r>
      <w:r w:rsidR="00581B49">
        <w:rPr>
          <w:sz w:val="28"/>
          <w:vertAlign w:val="superscript"/>
        </w:rPr>
        <w:t xml:space="preserve"> </w:t>
      </w:r>
      <w:r w:rsidRPr="00EB404F">
        <w:rPr>
          <w:sz w:val="28"/>
        </w:rPr>
        <w:t>private providers</w:t>
      </w:r>
      <w:r w:rsidR="001335FA">
        <w:rPr>
          <w:sz w:val="28"/>
        </w:rPr>
        <w:t xml:space="preserve"> statewide</w:t>
      </w:r>
      <w:r w:rsidR="007B79B5">
        <w:rPr>
          <w:sz w:val="28"/>
        </w:rPr>
        <w:t xml:space="preserve"> to deliver the services</w:t>
      </w:r>
      <w:r w:rsidR="007409BC">
        <w:rPr>
          <w:sz w:val="28"/>
        </w:rPr>
        <w:t>.</w:t>
      </w:r>
      <w:r w:rsidR="00581B49">
        <w:rPr>
          <w:rStyle w:val="FootnoteReference"/>
          <w:sz w:val="28"/>
        </w:rPr>
        <w:footnoteReference w:id="8"/>
      </w:r>
      <w:proofErr w:type="gramStart"/>
      <w:r w:rsidR="002030F1">
        <w:rPr>
          <w:sz w:val="28"/>
        </w:rPr>
        <w:t xml:space="preserve"> </w:t>
      </w:r>
      <w:proofErr w:type="gramEnd"/>
      <w:r w:rsidRPr="00EB404F">
        <w:rPr>
          <w:sz w:val="28"/>
        </w:rPr>
        <w:t xml:space="preserve">DHHS reports that there is capacity to provide </w:t>
      </w:r>
      <w:r w:rsidR="002030F1">
        <w:rPr>
          <w:sz w:val="28"/>
        </w:rPr>
        <w:t>residential</w:t>
      </w:r>
      <w:r w:rsidR="00E47E65">
        <w:rPr>
          <w:sz w:val="28"/>
        </w:rPr>
        <w:t xml:space="preserve"> services to over 300</w:t>
      </w:r>
      <w:r w:rsidR="001335FA">
        <w:rPr>
          <w:sz w:val="28"/>
        </w:rPr>
        <w:t xml:space="preserve"> </w:t>
      </w:r>
      <w:r w:rsidRPr="00EB404F">
        <w:rPr>
          <w:sz w:val="28"/>
        </w:rPr>
        <w:t>y</w:t>
      </w:r>
      <w:r w:rsidR="001335FA">
        <w:rPr>
          <w:sz w:val="28"/>
        </w:rPr>
        <w:t>outh</w:t>
      </w:r>
      <w:r w:rsidR="007409BC">
        <w:rPr>
          <w:sz w:val="28"/>
        </w:rPr>
        <w:t>.</w:t>
      </w:r>
      <w:r w:rsidR="00581B49">
        <w:rPr>
          <w:rStyle w:val="FootnoteReference"/>
          <w:sz w:val="28"/>
        </w:rPr>
        <w:footnoteReference w:id="9"/>
      </w:r>
      <w:proofErr w:type="gramStart"/>
      <w:r w:rsidR="007409BC">
        <w:rPr>
          <w:sz w:val="28"/>
        </w:rPr>
        <w:t xml:space="preserve"> </w:t>
      </w:r>
      <w:proofErr w:type="gramEnd"/>
      <w:r w:rsidR="007409BC">
        <w:rPr>
          <w:sz w:val="28"/>
        </w:rPr>
        <w:t>However, m</w:t>
      </w:r>
      <w:r w:rsidRPr="00EB404F">
        <w:rPr>
          <w:sz w:val="28"/>
        </w:rPr>
        <w:t xml:space="preserve">any providers </w:t>
      </w:r>
      <w:r w:rsidR="00346F71">
        <w:rPr>
          <w:sz w:val="28"/>
        </w:rPr>
        <w:t>state</w:t>
      </w:r>
      <w:r w:rsidR="00346F71" w:rsidRPr="00EB404F">
        <w:rPr>
          <w:sz w:val="28"/>
        </w:rPr>
        <w:t xml:space="preserve"> </w:t>
      </w:r>
      <w:r w:rsidRPr="00EB404F">
        <w:rPr>
          <w:sz w:val="28"/>
        </w:rPr>
        <w:t xml:space="preserve">that they </w:t>
      </w:r>
      <w:r w:rsidR="005E15A0" w:rsidRPr="00EB404F">
        <w:rPr>
          <w:sz w:val="28"/>
        </w:rPr>
        <w:t xml:space="preserve">are </w:t>
      </w:r>
      <w:r w:rsidR="005E15A0">
        <w:rPr>
          <w:sz w:val="28"/>
        </w:rPr>
        <w:t>not</w:t>
      </w:r>
      <w:r w:rsidR="00346F71">
        <w:rPr>
          <w:sz w:val="28"/>
        </w:rPr>
        <w:t xml:space="preserve"> filling all the beds</w:t>
      </w:r>
      <w:r w:rsidRPr="00EB404F">
        <w:rPr>
          <w:sz w:val="28"/>
        </w:rPr>
        <w:t xml:space="preserve"> in their prog</w:t>
      </w:r>
      <w:r>
        <w:rPr>
          <w:sz w:val="28"/>
        </w:rPr>
        <w:t>rams</w:t>
      </w:r>
      <w:r w:rsidR="00346F71">
        <w:rPr>
          <w:sz w:val="28"/>
        </w:rPr>
        <w:t>,</w:t>
      </w:r>
      <w:r>
        <w:rPr>
          <w:sz w:val="28"/>
        </w:rPr>
        <w:t xml:space="preserve"> due to staffing challenges</w:t>
      </w:r>
      <w:r w:rsidRPr="00EB404F">
        <w:rPr>
          <w:sz w:val="28"/>
        </w:rPr>
        <w:t xml:space="preserve"> and</w:t>
      </w:r>
      <w:r>
        <w:rPr>
          <w:sz w:val="28"/>
        </w:rPr>
        <w:t xml:space="preserve"> the</w:t>
      </w:r>
      <w:r w:rsidRPr="00EB404F">
        <w:rPr>
          <w:sz w:val="28"/>
        </w:rPr>
        <w:t xml:space="preserve"> </w:t>
      </w:r>
      <w:r w:rsidR="007409BC">
        <w:rPr>
          <w:sz w:val="28"/>
        </w:rPr>
        <w:t>particular needs</w:t>
      </w:r>
      <w:r w:rsidRPr="00EB404F">
        <w:rPr>
          <w:sz w:val="28"/>
        </w:rPr>
        <w:t xml:space="preserve"> of</w:t>
      </w:r>
      <w:r w:rsidR="00346F71">
        <w:rPr>
          <w:sz w:val="28"/>
        </w:rPr>
        <w:t xml:space="preserve"> the</w:t>
      </w:r>
      <w:r w:rsidRPr="00EB404F">
        <w:rPr>
          <w:sz w:val="28"/>
        </w:rPr>
        <w:t xml:space="preserve"> youth</w:t>
      </w:r>
      <w:r w:rsidR="00346F71">
        <w:rPr>
          <w:sz w:val="28"/>
        </w:rPr>
        <w:t xml:space="preserve"> currently</w:t>
      </w:r>
      <w:r w:rsidRPr="00EB404F">
        <w:rPr>
          <w:sz w:val="28"/>
        </w:rPr>
        <w:t xml:space="preserve"> within their programs.</w:t>
      </w:r>
      <w:r w:rsidR="006F33FD">
        <w:rPr>
          <w:sz w:val="28"/>
        </w:rPr>
        <w:t xml:space="preserve">  That said, even </w:t>
      </w:r>
      <w:r w:rsidR="007F387F">
        <w:rPr>
          <w:sz w:val="28"/>
        </w:rPr>
        <w:t>though</w:t>
      </w:r>
      <w:r w:rsidR="006F33FD">
        <w:rPr>
          <w:sz w:val="28"/>
        </w:rPr>
        <w:t xml:space="preserve"> these facilities are not gen</w:t>
      </w:r>
      <w:r w:rsidR="00B365AE">
        <w:rPr>
          <w:sz w:val="28"/>
        </w:rPr>
        <w:t>erally operating at capacity, DRM</w:t>
      </w:r>
      <w:r w:rsidR="006F33FD">
        <w:rPr>
          <w:sz w:val="28"/>
        </w:rPr>
        <w:t xml:space="preserve"> assumed full capacity when generating the numbers contained within this report.</w:t>
      </w:r>
    </w:p>
    <w:p w:rsidR="00EB404F" w:rsidRDefault="00EB404F" w:rsidP="000C3590">
      <w:pPr>
        <w:pStyle w:val="NoSpacing"/>
        <w:rPr>
          <w:sz w:val="28"/>
        </w:rPr>
      </w:pPr>
    </w:p>
    <w:p w:rsidR="00505EB0" w:rsidRDefault="006F2C9E" w:rsidP="000C3590">
      <w:pPr>
        <w:pStyle w:val="NoSpacing"/>
        <w:rPr>
          <w:sz w:val="28"/>
        </w:rPr>
      </w:pPr>
      <w:r>
        <w:rPr>
          <w:sz w:val="28"/>
        </w:rPr>
        <w:lastRenderedPageBreak/>
        <w:t>Youth</w:t>
      </w:r>
      <w:r w:rsidR="00346F71">
        <w:rPr>
          <w:sz w:val="28"/>
        </w:rPr>
        <w:t xml:space="preserve"> </w:t>
      </w:r>
      <w:r w:rsidR="00505EB0">
        <w:rPr>
          <w:sz w:val="28"/>
        </w:rPr>
        <w:t xml:space="preserve">enter </w:t>
      </w:r>
      <w:r w:rsidR="002030F1">
        <w:rPr>
          <w:sz w:val="28"/>
        </w:rPr>
        <w:t>residential programs</w:t>
      </w:r>
      <w:r w:rsidR="00505EB0">
        <w:rPr>
          <w:sz w:val="28"/>
        </w:rPr>
        <w:t xml:space="preserve"> from many different settings</w:t>
      </w:r>
      <w:r w:rsidR="00F837C4">
        <w:rPr>
          <w:sz w:val="28"/>
        </w:rPr>
        <w:t xml:space="preserve">.  </w:t>
      </w:r>
      <w:r w:rsidR="00505EB0">
        <w:rPr>
          <w:sz w:val="28"/>
        </w:rPr>
        <w:t xml:space="preserve">Some </w:t>
      </w:r>
      <w:r w:rsidR="00346F71">
        <w:rPr>
          <w:sz w:val="28"/>
        </w:rPr>
        <w:t xml:space="preserve">of them </w:t>
      </w:r>
      <w:r w:rsidR="00C93242">
        <w:rPr>
          <w:sz w:val="28"/>
        </w:rPr>
        <w:t>are found eligible</w:t>
      </w:r>
      <w:r w:rsidR="007409BC">
        <w:rPr>
          <w:sz w:val="28"/>
        </w:rPr>
        <w:t xml:space="preserve"> for this level of care</w:t>
      </w:r>
      <w:r w:rsidR="00C93242">
        <w:rPr>
          <w:sz w:val="28"/>
        </w:rPr>
        <w:t xml:space="preserve"> </w:t>
      </w:r>
      <w:r w:rsidR="00505EB0">
        <w:rPr>
          <w:sz w:val="28"/>
        </w:rPr>
        <w:t xml:space="preserve">and remain in their family home until a placement is </w:t>
      </w:r>
      <w:r w:rsidR="007814F2">
        <w:rPr>
          <w:sz w:val="28"/>
        </w:rPr>
        <w:t>available</w:t>
      </w:r>
      <w:r w:rsidR="00F837C4">
        <w:rPr>
          <w:sz w:val="28"/>
        </w:rPr>
        <w:t xml:space="preserve">.  </w:t>
      </w:r>
      <w:r w:rsidR="007814F2">
        <w:rPr>
          <w:sz w:val="28"/>
        </w:rPr>
        <w:t xml:space="preserve">Some </w:t>
      </w:r>
      <w:r w:rsidR="00346F71">
        <w:rPr>
          <w:sz w:val="28"/>
        </w:rPr>
        <w:t xml:space="preserve">await placement </w:t>
      </w:r>
      <w:r w:rsidR="00505EB0">
        <w:rPr>
          <w:sz w:val="28"/>
        </w:rPr>
        <w:t xml:space="preserve">in much higher levels of </w:t>
      </w:r>
      <w:r w:rsidR="007814F2">
        <w:rPr>
          <w:sz w:val="28"/>
        </w:rPr>
        <w:t>care</w:t>
      </w:r>
      <w:r w:rsidR="00346F71">
        <w:rPr>
          <w:sz w:val="28"/>
        </w:rPr>
        <w:t>,</w:t>
      </w:r>
      <w:r w:rsidR="007814F2">
        <w:rPr>
          <w:sz w:val="28"/>
        </w:rPr>
        <w:t xml:space="preserve"> </w:t>
      </w:r>
      <w:r w:rsidR="00EB404F">
        <w:rPr>
          <w:sz w:val="28"/>
        </w:rPr>
        <w:t>like the</w:t>
      </w:r>
      <w:r w:rsidR="00C93242">
        <w:rPr>
          <w:sz w:val="28"/>
        </w:rPr>
        <w:t xml:space="preserve"> </w:t>
      </w:r>
      <w:r w:rsidR="00505EB0">
        <w:rPr>
          <w:sz w:val="28"/>
        </w:rPr>
        <w:t xml:space="preserve">local emergency department, </w:t>
      </w:r>
      <w:r w:rsidR="007814F2">
        <w:rPr>
          <w:sz w:val="28"/>
        </w:rPr>
        <w:t>hospital</w:t>
      </w:r>
      <w:r w:rsidR="00EB404F">
        <w:rPr>
          <w:sz w:val="28"/>
        </w:rPr>
        <w:t xml:space="preserve">, </w:t>
      </w:r>
      <w:r w:rsidR="002F5FA9">
        <w:rPr>
          <w:sz w:val="28"/>
        </w:rPr>
        <w:t>crisis stabilization unit (“CSU”)</w:t>
      </w:r>
      <w:r w:rsidR="00EB404F">
        <w:rPr>
          <w:sz w:val="28"/>
        </w:rPr>
        <w:t xml:space="preserve">, or </w:t>
      </w:r>
      <w:r w:rsidR="00505EB0">
        <w:rPr>
          <w:sz w:val="28"/>
        </w:rPr>
        <w:t>correctional facility.</w:t>
      </w:r>
    </w:p>
    <w:p w:rsidR="00EB404F" w:rsidRDefault="00EB404F" w:rsidP="000C3590">
      <w:pPr>
        <w:pStyle w:val="NoSpacing"/>
        <w:rPr>
          <w:sz w:val="28"/>
        </w:rPr>
      </w:pPr>
    </w:p>
    <w:p w:rsidR="002701AA" w:rsidRDefault="00EB404F" w:rsidP="000C3590">
      <w:pPr>
        <w:pStyle w:val="NoSpacing"/>
        <w:rPr>
          <w:sz w:val="28"/>
        </w:rPr>
      </w:pPr>
      <w:r>
        <w:rPr>
          <w:sz w:val="28"/>
        </w:rPr>
        <w:t>Unfortunately</w:t>
      </w:r>
      <w:r w:rsidR="002F5FA9">
        <w:rPr>
          <w:sz w:val="28"/>
        </w:rPr>
        <w:t>,</w:t>
      </w:r>
      <w:r>
        <w:rPr>
          <w:sz w:val="28"/>
        </w:rPr>
        <w:t xml:space="preserve"> </w:t>
      </w:r>
      <w:r w:rsidRPr="00EB404F">
        <w:rPr>
          <w:sz w:val="28"/>
        </w:rPr>
        <w:t xml:space="preserve">the </w:t>
      </w:r>
      <w:r w:rsidR="003A60FF">
        <w:rPr>
          <w:sz w:val="28"/>
        </w:rPr>
        <w:t>behavioral health system</w:t>
      </w:r>
      <w:r w:rsidRPr="00EB404F">
        <w:rPr>
          <w:sz w:val="28"/>
        </w:rPr>
        <w:t xml:space="preserve"> in Maine is overb</w:t>
      </w:r>
      <w:r>
        <w:rPr>
          <w:sz w:val="28"/>
        </w:rPr>
        <w:t>urdened at every level</w:t>
      </w:r>
      <w:r w:rsidR="00F837C4">
        <w:rPr>
          <w:sz w:val="28"/>
        </w:rPr>
        <w:t xml:space="preserve">.  </w:t>
      </w:r>
      <w:r>
        <w:rPr>
          <w:sz w:val="28"/>
        </w:rPr>
        <w:t>Youth</w:t>
      </w:r>
      <w:r w:rsidRPr="00EB404F">
        <w:rPr>
          <w:sz w:val="28"/>
        </w:rPr>
        <w:t xml:space="preserve"> wait for months</w:t>
      </w:r>
      <w:r w:rsidR="007409BC">
        <w:rPr>
          <w:sz w:val="28"/>
        </w:rPr>
        <w:t xml:space="preserve"> (or in some cases years)</w:t>
      </w:r>
      <w:r w:rsidRPr="00EB404F">
        <w:rPr>
          <w:sz w:val="28"/>
        </w:rPr>
        <w:t xml:space="preserve"> for </w:t>
      </w:r>
      <w:r w:rsidR="00581B49">
        <w:rPr>
          <w:sz w:val="28"/>
        </w:rPr>
        <w:t>the least restrictive level of care--</w:t>
      </w:r>
      <w:r w:rsidRPr="00EB404F">
        <w:rPr>
          <w:sz w:val="28"/>
        </w:rPr>
        <w:t xml:space="preserve">outpatient or in-home and community services.  Because of a lack of necessary and appropriate </w:t>
      </w:r>
      <w:r w:rsidR="003F23AC">
        <w:rPr>
          <w:sz w:val="28"/>
        </w:rPr>
        <w:t>home and community based services</w:t>
      </w:r>
      <w:r w:rsidRPr="00EB404F">
        <w:rPr>
          <w:sz w:val="28"/>
        </w:rPr>
        <w:t xml:space="preserve">, sometimes these </w:t>
      </w:r>
      <w:r w:rsidR="006F2C9E">
        <w:rPr>
          <w:sz w:val="28"/>
        </w:rPr>
        <w:t>youth</w:t>
      </w:r>
      <w:r w:rsidR="0034109C" w:rsidRPr="00EB404F">
        <w:rPr>
          <w:sz w:val="28"/>
        </w:rPr>
        <w:t xml:space="preserve"> </w:t>
      </w:r>
      <w:r w:rsidRPr="00EB404F">
        <w:rPr>
          <w:sz w:val="28"/>
        </w:rPr>
        <w:t xml:space="preserve">will find themselves in crisis, and </w:t>
      </w:r>
      <w:r w:rsidR="00AF7366">
        <w:rPr>
          <w:sz w:val="28"/>
        </w:rPr>
        <w:t>require</w:t>
      </w:r>
      <w:r w:rsidRPr="00EB404F">
        <w:rPr>
          <w:sz w:val="28"/>
        </w:rPr>
        <w:t xml:space="preserve"> a higher level of care</w:t>
      </w:r>
      <w:r w:rsidR="003F23AC">
        <w:rPr>
          <w:sz w:val="28"/>
        </w:rPr>
        <w:t>,</w:t>
      </w:r>
      <w:r w:rsidRPr="00EB404F">
        <w:rPr>
          <w:sz w:val="28"/>
        </w:rPr>
        <w:t xml:space="preserve"> </w:t>
      </w:r>
      <w:r w:rsidR="003F23AC">
        <w:rPr>
          <w:sz w:val="28"/>
        </w:rPr>
        <w:t>which</w:t>
      </w:r>
      <w:r w:rsidR="003F23AC" w:rsidRPr="00EB404F">
        <w:rPr>
          <w:sz w:val="28"/>
        </w:rPr>
        <w:t xml:space="preserve"> </w:t>
      </w:r>
      <w:r w:rsidRPr="00EB404F">
        <w:rPr>
          <w:sz w:val="28"/>
        </w:rPr>
        <w:t>would not have been necessary with the proper in-home supports</w:t>
      </w:r>
      <w:r w:rsidR="00F837C4" w:rsidRPr="00EB404F">
        <w:rPr>
          <w:sz w:val="28"/>
        </w:rPr>
        <w:t xml:space="preserve">.  </w:t>
      </w:r>
      <w:r w:rsidRPr="00EB404F">
        <w:rPr>
          <w:sz w:val="28"/>
        </w:rPr>
        <w:t xml:space="preserve">This taxes the </w:t>
      </w:r>
      <w:r>
        <w:rPr>
          <w:sz w:val="28"/>
        </w:rPr>
        <w:t>system</w:t>
      </w:r>
      <w:r w:rsidR="0034109C">
        <w:rPr>
          <w:sz w:val="28"/>
        </w:rPr>
        <w:t xml:space="preserve"> -</w:t>
      </w:r>
      <w:r>
        <w:rPr>
          <w:sz w:val="28"/>
        </w:rPr>
        <w:t xml:space="preserve"> including </w:t>
      </w:r>
      <w:r w:rsidR="002030F1">
        <w:rPr>
          <w:sz w:val="28"/>
        </w:rPr>
        <w:t>residential</w:t>
      </w:r>
      <w:r w:rsidRPr="00EB404F">
        <w:rPr>
          <w:sz w:val="28"/>
        </w:rPr>
        <w:t xml:space="preserve"> programs, the CSUs, and the psychiatric hospitals</w:t>
      </w:r>
      <w:r w:rsidR="0034109C">
        <w:rPr>
          <w:sz w:val="28"/>
        </w:rPr>
        <w:t xml:space="preserve"> - </w:t>
      </w:r>
      <w:r w:rsidRPr="00EB404F">
        <w:rPr>
          <w:sz w:val="28"/>
        </w:rPr>
        <w:t xml:space="preserve">each of which has </w:t>
      </w:r>
      <w:r w:rsidR="00AF7366">
        <w:rPr>
          <w:sz w:val="28"/>
        </w:rPr>
        <w:t>youth in their programs</w:t>
      </w:r>
      <w:r w:rsidR="003F23AC">
        <w:rPr>
          <w:sz w:val="28"/>
        </w:rPr>
        <w:t xml:space="preserve"> that do not need that level of care</w:t>
      </w:r>
      <w:r w:rsidR="00B365AE">
        <w:rPr>
          <w:sz w:val="28"/>
        </w:rPr>
        <w:t>,</w:t>
      </w:r>
      <w:r w:rsidR="003F23AC">
        <w:rPr>
          <w:sz w:val="28"/>
        </w:rPr>
        <w:t xml:space="preserve"> but remain</w:t>
      </w:r>
      <w:r w:rsidR="00AF7366">
        <w:rPr>
          <w:sz w:val="28"/>
        </w:rPr>
        <w:t xml:space="preserve"> for want of a safe discharge option</w:t>
      </w:r>
      <w:r w:rsidR="00F837C4" w:rsidRPr="00EB404F">
        <w:rPr>
          <w:sz w:val="28"/>
        </w:rPr>
        <w:t xml:space="preserve">.  </w:t>
      </w:r>
      <w:r w:rsidRPr="00EB404F">
        <w:rPr>
          <w:sz w:val="28"/>
        </w:rPr>
        <w:t xml:space="preserve">In other words, these youth </w:t>
      </w:r>
      <w:r w:rsidR="00BD77C9">
        <w:rPr>
          <w:sz w:val="28"/>
        </w:rPr>
        <w:t xml:space="preserve">stay for months or years </w:t>
      </w:r>
      <w:r w:rsidR="00BD77C9" w:rsidRPr="00EB404F">
        <w:rPr>
          <w:sz w:val="28"/>
        </w:rPr>
        <w:t>in</w:t>
      </w:r>
      <w:r w:rsidRPr="00EB404F">
        <w:rPr>
          <w:sz w:val="28"/>
        </w:rPr>
        <w:t xml:space="preserve"> restrictive settings because they cannot access a </w:t>
      </w:r>
      <w:r w:rsidR="009F1990">
        <w:rPr>
          <w:sz w:val="28"/>
        </w:rPr>
        <w:t xml:space="preserve">more appropriate level of </w:t>
      </w:r>
      <w:r w:rsidRPr="00EB404F">
        <w:rPr>
          <w:sz w:val="28"/>
        </w:rPr>
        <w:t>treatment</w:t>
      </w:r>
      <w:r w:rsidR="0034109C">
        <w:rPr>
          <w:sz w:val="28"/>
        </w:rPr>
        <w:t>, despite being qualified and eligible</w:t>
      </w:r>
      <w:r w:rsidRPr="00EB404F">
        <w:rPr>
          <w:sz w:val="28"/>
        </w:rPr>
        <w:t>.</w:t>
      </w:r>
    </w:p>
    <w:p w:rsidR="002701AA" w:rsidRDefault="002701AA" w:rsidP="000C3590">
      <w:pPr>
        <w:pStyle w:val="NoSpacing"/>
        <w:rPr>
          <w:sz w:val="28"/>
        </w:rPr>
      </w:pPr>
    </w:p>
    <w:p w:rsidR="002701AA" w:rsidRDefault="002050F4" w:rsidP="000C3590">
      <w:pPr>
        <w:pStyle w:val="NoSpacing"/>
        <w:rPr>
          <w:sz w:val="28"/>
        </w:rPr>
      </w:pPr>
      <w:r>
        <w:rPr>
          <w:sz w:val="28"/>
        </w:rPr>
        <w:t>Throughout the continuum of care, crisis</w:t>
      </w:r>
      <w:r w:rsidR="000D7560">
        <w:rPr>
          <w:sz w:val="28"/>
        </w:rPr>
        <w:t xml:space="preserve"> services are </w:t>
      </w:r>
      <w:r w:rsidR="000A082E">
        <w:rPr>
          <w:sz w:val="28"/>
        </w:rPr>
        <w:t xml:space="preserve">intended to be </w:t>
      </w:r>
      <w:r w:rsidR="000D7560">
        <w:rPr>
          <w:sz w:val="28"/>
        </w:rPr>
        <w:t xml:space="preserve">a safety net and point of contact for youth experiencing a behavioral health crisis.  There is a statewide hotline which anyone can call for emergency </w:t>
      </w:r>
      <w:r w:rsidR="00287A46">
        <w:rPr>
          <w:sz w:val="28"/>
        </w:rPr>
        <w:t xml:space="preserve">behavioral </w:t>
      </w:r>
      <w:r w:rsidR="000D7560">
        <w:rPr>
          <w:sz w:val="28"/>
        </w:rPr>
        <w:t>health services</w:t>
      </w:r>
      <w:r w:rsidR="00F837C4">
        <w:rPr>
          <w:sz w:val="28"/>
        </w:rPr>
        <w:t xml:space="preserve">.  </w:t>
      </w:r>
      <w:r w:rsidR="00663EDE">
        <w:rPr>
          <w:sz w:val="28"/>
        </w:rPr>
        <w:t xml:space="preserve">These crisis </w:t>
      </w:r>
      <w:r w:rsidR="00287A46">
        <w:rPr>
          <w:sz w:val="28"/>
        </w:rPr>
        <w:t>“</w:t>
      </w:r>
      <w:r w:rsidR="00663EDE">
        <w:rPr>
          <w:sz w:val="28"/>
        </w:rPr>
        <w:t>[s]</w:t>
      </w:r>
      <w:proofErr w:type="spellStart"/>
      <w:r w:rsidR="00287A46" w:rsidRPr="00287A46">
        <w:rPr>
          <w:sz w:val="28"/>
        </w:rPr>
        <w:t>ervices</w:t>
      </w:r>
      <w:proofErr w:type="spellEnd"/>
      <w:r w:rsidR="00287A46" w:rsidRPr="00287A46">
        <w:rPr>
          <w:sz w:val="28"/>
        </w:rPr>
        <w:t xml:space="preserve"> are oriented toward the amelioration and stabilization of these acute emotional disturbances to ensure the safety of a member or society and can be provided in an office or on scene</w:t>
      </w:r>
      <w:r w:rsidR="00287A46">
        <w:rPr>
          <w:sz w:val="28"/>
        </w:rPr>
        <w:t xml:space="preserve">. </w:t>
      </w:r>
      <w:r w:rsidR="00F837C4">
        <w:rPr>
          <w:sz w:val="28"/>
        </w:rPr>
        <w:t xml:space="preserve"> ‘</w:t>
      </w:r>
      <w:r w:rsidR="00287A46">
        <w:rPr>
          <w:sz w:val="28"/>
        </w:rPr>
        <w:t>On scene’</w:t>
      </w:r>
      <w:r w:rsidR="00287A46" w:rsidRPr="00287A46">
        <w:rPr>
          <w:sz w:val="28"/>
        </w:rPr>
        <w:t xml:space="preserve"> can mean a variety of locations including member homes, school, street, emergency shelter, and emergency rooms.</w:t>
      </w:r>
      <w:r w:rsidR="00287A46">
        <w:rPr>
          <w:sz w:val="28"/>
        </w:rPr>
        <w:t>”</w:t>
      </w:r>
      <w:r w:rsidR="00287A46">
        <w:rPr>
          <w:rStyle w:val="FootnoteReference"/>
          <w:sz w:val="28"/>
        </w:rPr>
        <w:footnoteReference w:id="10"/>
      </w:r>
      <w:r w:rsidR="00287A46">
        <w:rPr>
          <w:sz w:val="28"/>
        </w:rPr>
        <w:t xml:space="preserve">  Parents, educators, and residential providers all have this resource available to them when a youth is in crisis.  Unfortunately, all too often, concerned parties call law enforcement instead of crisis when there is a behavioral health emergency.</w:t>
      </w:r>
      <w:r w:rsidR="00287A46">
        <w:rPr>
          <w:rStyle w:val="FootnoteReference"/>
          <w:sz w:val="28"/>
        </w:rPr>
        <w:footnoteReference w:id="11"/>
      </w:r>
    </w:p>
    <w:p w:rsidR="002701AA" w:rsidRDefault="002701AA" w:rsidP="000C3590">
      <w:pPr>
        <w:pStyle w:val="NoSpacing"/>
        <w:rPr>
          <w:sz w:val="28"/>
        </w:rPr>
      </w:pPr>
    </w:p>
    <w:p w:rsidR="00EB404F" w:rsidRDefault="001A1489" w:rsidP="000C3590">
      <w:pPr>
        <w:pStyle w:val="NoSpacing"/>
        <w:rPr>
          <w:sz w:val="28"/>
        </w:rPr>
      </w:pPr>
      <w:r>
        <w:rPr>
          <w:sz w:val="28"/>
        </w:rPr>
        <w:t>This is problematic for several reasons</w:t>
      </w:r>
      <w:r w:rsidR="008C79AB">
        <w:rPr>
          <w:sz w:val="28"/>
        </w:rPr>
        <w:t xml:space="preserve">: 1) crisis staff </w:t>
      </w:r>
      <w:proofErr w:type="gramStart"/>
      <w:r w:rsidR="008C79AB">
        <w:rPr>
          <w:sz w:val="28"/>
        </w:rPr>
        <w:t>have</w:t>
      </w:r>
      <w:proofErr w:type="gramEnd"/>
      <w:r w:rsidR="008C79AB">
        <w:rPr>
          <w:sz w:val="28"/>
        </w:rPr>
        <w:t xml:space="preserve"> the training and expertise necessary to respond appropriately</w:t>
      </w:r>
      <w:r w:rsidR="003B45A8">
        <w:rPr>
          <w:sz w:val="28"/>
        </w:rPr>
        <w:t>;</w:t>
      </w:r>
      <w:r w:rsidR="008C79AB">
        <w:rPr>
          <w:rStyle w:val="FootnoteReference"/>
          <w:sz w:val="28"/>
        </w:rPr>
        <w:footnoteReference w:id="12"/>
      </w:r>
      <w:r w:rsidR="008C79AB">
        <w:rPr>
          <w:sz w:val="28"/>
        </w:rPr>
        <w:t xml:space="preserve"> 2) law enforcement resources are </w:t>
      </w:r>
      <w:r w:rsidR="008C79AB">
        <w:rPr>
          <w:sz w:val="28"/>
        </w:rPr>
        <w:lastRenderedPageBreak/>
        <w:t xml:space="preserve">diverted unnecessarily; and 3) </w:t>
      </w:r>
      <w:r>
        <w:rPr>
          <w:sz w:val="28"/>
        </w:rPr>
        <w:t>youth</w:t>
      </w:r>
      <w:r w:rsidR="008C79AB">
        <w:rPr>
          <w:sz w:val="28"/>
        </w:rPr>
        <w:t xml:space="preserve"> may</w:t>
      </w:r>
      <w:r>
        <w:rPr>
          <w:sz w:val="28"/>
        </w:rPr>
        <w:t xml:space="preserve"> incur criminal charges stemming from a behavioral health emergency.</w:t>
      </w:r>
    </w:p>
    <w:p w:rsidR="001A1489" w:rsidRDefault="001A1489" w:rsidP="000C3590">
      <w:pPr>
        <w:pStyle w:val="NoSpacing"/>
        <w:rPr>
          <w:sz w:val="28"/>
        </w:rPr>
      </w:pPr>
    </w:p>
    <w:p w:rsidR="00B25011" w:rsidRDefault="003B45A8" w:rsidP="000C3590">
      <w:pPr>
        <w:pStyle w:val="NoSpacing"/>
        <w:rPr>
          <w:sz w:val="28"/>
        </w:rPr>
      </w:pPr>
      <w:r>
        <w:rPr>
          <w:sz w:val="28"/>
        </w:rPr>
        <w:t>Sometimes, as a result of these criminal charges, youth are brought to</w:t>
      </w:r>
      <w:r w:rsidR="00EB404F" w:rsidRPr="00EB404F">
        <w:rPr>
          <w:sz w:val="28"/>
        </w:rPr>
        <w:t xml:space="preserve"> Long Creek Youth </w:t>
      </w:r>
      <w:r w:rsidR="00B25011">
        <w:rPr>
          <w:sz w:val="28"/>
        </w:rPr>
        <w:t>Development Center (</w:t>
      </w:r>
      <w:r w:rsidR="004A4DC7">
        <w:rPr>
          <w:sz w:val="28"/>
        </w:rPr>
        <w:t>“</w:t>
      </w:r>
      <w:r w:rsidR="00B25011">
        <w:rPr>
          <w:sz w:val="28"/>
        </w:rPr>
        <w:t>Long Creek</w:t>
      </w:r>
      <w:r w:rsidR="004A4DC7">
        <w:rPr>
          <w:sz w:val="28"/>
        </w:rPr>
        <w:t>”</w:t>
      </w:r>
      <w:r w:rsidR="00EB404F" w:rsidRPr="00EB404F">
        <w:rPr>
          <w:sz w:val="28"/>
        </w:rPr>
        <w:t>)</w:t>
      </w:r>
      <w:r w:rsidR="00F837C4" w:rsidRPr="00EB404F">
        <w:rPr>
          <w:sz w:val="28"/>
        </w:rPr>
        <w:t xml:space="preserve">.  </w:t>
      </w:r>
      <w:r w:rsidR="00EB404F" w:rsidRPr="00EB404F">
        <w:rPr>
          <w:sz w:val="28"/>
        </w:rPr>
        <w:t>This is Maine’s only juvenile correctional facility.</w:t>
      </w:r>
      <w:r w:rsidR="008574C8">
        <w:rPr>
          <w:rStyle w:val="FootnoteReference"/>
          <w:sz w:val="28"/>
        </w:rPr>
        <w:footnoteReference w:id="13"/>
      </w:r>
      <w:r w:rsidR="00EB404F" w:rsidRPr="00EB404F">
        <w:rPr>
          <w:sz w:val="28"/>
        </w:rPr>
        <w:t xml:space="preserve">  It typically holds under 100 juvenile inmates, both male and female, and contains six functioning units (one unit for detained boys; one medium-risk boys’ unit; one high-risk boys’ unit; one unit for both detained and committed girls; one unit for low-risk transitioning boys; and the Special Management Unit).</w:t>
      </w:r>
    </w:p>
    <w:p w:rsidR="00B25011" w:rsidRPr="005E503A" w:rsidRDefault="00B25011" w:rsidP="0030055D">
      <w:pPr>
        <w:pStyle w:val="Subtitle"/>
        <w:rPr>
          <w:rFonts w:asciiTheme="minorHAnsi" w:hAnsiTheme="minorHAnsi"/>
          <w:color w:val="365F91" w:themeColor="accent1" w:themeShade="BF"/>
        </w:rPr>
      </w:pPr>
      <w:r w:rsidRPr="005E503A">
        <w:rPr>
          <w:rFonts w:asciiTheme="minorHAnsi" w:hAnsiTheme="minorHAnsi"/>
          <w:color w:val="365F91" w:themeColor="accent1" w:themeShade="BF"/>
        </w:rPr>
        <w:t xml:space="preserve">According to a report produced by the Department of Corrections (“DOC”) in January 2017, as of July 2016, 29.5% of youth had come directly from residential treatment, and 84.6% had three or more mental health </w:t>
      </w:r>
      <w:r w:rsidR="001E2C8B" w:rsidRPr="005E503A">
        <w:rPr>
          <w:rFonts w:asciiTheme="minorHAnsi" w:hAnsiTheme="minorHAnsi"/>
          <w:color w:val="365F91" w:themeColor="accent1" w:themeShade="BF"/>
        </w:rPr>
        <w:t>diagnoses when</w:t>
      </w:r>
      <w:r w:rsidRPr="005E503A">
        <w:rPr>
          <w:rFonts w:asciiTheme="minorHAnsi" w:hAnsiTheme="minorHAnsi"/>
          <w:color w:val="365F91" w:themeColor="accent1" w:themeShade="BF"/>
        </w:rPr>
        <w:t xml:space="preserve"> they came to Long Creek</w:t>
      </w:r>
      <w:r w:rsidR="00F837C4" w:rsidRPr="005E503A">
        <w:rPr>
          <w:rFonts w:asciiTheme="minorHAnsi" w:hAnsiTheme="minorHAnsi"/>
          <w:color w:val="365F91" w:themeColor="accent1" w:themeShade="BF"/>
        </w:rPr>
        <w:t>.</w:t>
      </w:r>
      <w:r w:rsidR="0052509C" w:rsidRPr="005E503A">
        <w:rPr>
          <w:rFonts w:asciiTheme="minorHAnsi" w:hAnsiTheme="minorHAnsi"/>
          <w:color w:val="365F91" w:themeColor="accent1" w:themeShade="BF"/>
          <w:vertAlign w:val="superscript"/>
        </w:rPr>
        <w:footnoteReference w:id="14"/>
      </w:r>
    </w:p>
    <w:p w:rsidR="00B25011" w:rsidRDefault="00B25011" w:rsidP="00B25011">
      <w:pPr>
        <w:pStyle w:val="NoSpacing"/>
        <w:rPr>
          <w:sz w:val="28"/>
        </w:rPr>
      </w:pPr>
      <w:r w:rsidRPr="00B25011">
        <w:rPr>
          <w:sz w:val="28"/>
        </w:rPr>
        <w:t xml:space="preserve">DRM has worked directly with many of these youth, and conducts monthly monitoring visits to Long Creek.  </w:t>
      </w:r>
      <w:r w:rsidR="00061128">
        <w:rPr>
          <w:sz w:val="28"/>
        </w:rPr>
        <w:t>Unfortunately,</w:t>
      </w:r>
      <w:r w:rsidRPr="00B25011">
        <w:rPr>
          <w:sz w:val="28"/>
        </w:rPr>
        <w:t xml:space="preserve"> Long Creek </w:t>
      </w:r>
      <w:r w:rsidR="00B47DB1">
        <w:rPr>
          <w:sz w:val="28"/>
        </w:rPr>
        <w:t>has become</w:t>
      </w:r>
      <w:r w:rsidRPr="00B25011">
        <w:rPr>
          <w:sz w:val="28"/>
        </w:rPr>
        <w:t xml:space="preserve"> the </w:t>
      </w:r>
      <w:r w:rsidR="00B365AE">
        <w:rPr>
          <w:sz w:val="28"/>
        </w:rPr>
        <w:t xml:space="preserve">default </w:t>
      </w:r>
      <w:r w:rsidRPr="00B25011">
        <w:rPr>
          <w:sz w:val="28"/>
        </w:rPr>
        <w:t>placement of last resort for youth who fall through the cracks of the</w:t>
      </w:r>
      <w:r w:rsidR="00A00A19">
        <w:rPr>
          <w:sz w:val="28"/>
        </w:rPr>
        <w:t xml:space="preserve"> behavioral health system </w:t>
      </w:r>
      <w:r w:rsidRPr="00B25011">
        <w:rPr>
          <w:sz w:val="28"/>
        </w:rPr>
        <w:t xml:space="preserve">– the unofficial, yet </w:t>
      </w:r>
      <w:r w:rsidR="00214588" w:rsidRPr="00B25011">
        <w:rPr>
          <w:sz w:val="28"/>
        </w:rPr>
        <w:t>over</w:t>
      </w:r>
      <w:r w:rsidR="00214588">
        <w:rPr>
          <w:sz w:val="28"/>
        </w:rPr>
        <w:t>-</w:t>
      </w:r>
      <w:r w:rsidRPr="00B25011">
        <w:rPr>
          <w:sz w:val="28"/>
        </w:rPr>
        <w:t>utilized, most restrictive level of care</w:t>
      </w:r>
      <w:r w:rsidR="00F837C4" w:rsidRPr="00B25011">
        <w:rPr>
          <w:sz w:val="28"/>
        </w:rPr>
        <w:t xml:space="preserve">.  </w:t>
      </w:r>
      <w:r w:rsidRPr="00B25011">
        <w:rPr>
          <w:sz w:val="28"/>
        </w:rPr>
        <w:t>Although Long Creek provides some access to mental health care, it is not the purpose of the facility, nor is it an</w:t>
      </w:r>
      <w:r w:rsidR="005712B0">
        <w:rPr>
          <w:sz w:val="28"/>
        </w:rPr>
        <w:t xml:space="preserve"> appropriate treatment setting.</w:t>
      </w:r>
    </w:p>
    <w:p w:rsidR="00E56FC0" w:rsidRPr="00DC07DE" w:rsidRDefault="00E56FC0" w:rsidP="0030055D">
      <w:pPr>
        <w:pStyle w:val="Subtitle"/>
        <w:rPr>
          <w:rFonts w:asciiTheme="minorHAnsi" w:hAnsiTheme="minorHAnsi"/>
          <w:color w:val="365F91" w:themeColor="accent1" w:themeShade="BF"/>
        </w:rPr>
      </w:pPr>
      <w:r w:rsidRPr="00DC07DE">
        <w:rPr>
          <w:rFonts w:asciiTheme="minorHAnsi" w:hAnsiTheme="minorHAnsi"/>
          <w:color w:val="365F91" w:themeColor="accent1" w:themeShade="BF"/>
        </w:rPr>
        <w:t>“[</w:t>
      </w:r>
      <w:r w:rsidR="00214588" w:rsidRPr="00DC07DE">
        <w:rPr>
          <w:rFonts w:asciiTheme="minorHAnsi" w:hAnsiTheme="minorHAnsi"/>
          <w:color w:val="365F91" w:themeColor="accent1" w:themeShade="BF"/>
        </w:rPr>
        <w:t>Long Creek</w:t>
      </w:r>
      <w:r w:rsidRPr="00DC07DE">
        <w:rPr>
          <w:rFonts w:asciiTheme="minorHAnsi" w:hAnsiTheme="minorHAnsi"/>
          <w:color w:val="365F91" w:themeColor="accent1" w:themeShade="BF"/>
        </w:rPr>
        <w:t>] is not medically equipped to deal with the delicate needs of these vulnerable youth.”</w:t>
      </w:r>
      <w:r w:rsidR="004260C0" w:rsidRPr="00DC07DE">
        <w:rPr>
          <w:rStyle w:val="FootnoteReference"/>
          <w:rFonts w:asciiTheme="minorHAnsi" w:hAnsiTheme="minorHAnsi"/>
          <w:color w:val="365F91" w:themeColor="accent1" w:themeShade="BF"/>
        </w:rPr>
        <w:footnoteReference w:id="15"/>
      </w:r>
      <w:r w:rsidRPr="00DC07DE">
        <w:rPr>
          <w:rFonts w:asciiTheme="minorHAnsi" w:hAnsiTheme="minorHAnsi"/>
          <w:color w:val="365F91" w:themeColor="accent1" w:themeShade="BF"/>
        </w:rPr>
        <w:t xml:space="preserve">  </w:t>
      </w:r>
    </w:p>
    <w:p w:rsidR="00E56FC0" w:rsidRPr="00E56FC0" w:rsidRDefault="00E56FC0" w:rsidP="00E56FC0">
      <w:pPr>
        <w:pStyle w:val="NoSpacing"/>
        <w:rPr>
          <w:sz w:val="28"/>
        </w:rPr>
      </w:pPr>
      <w:r w:rsidRPr="00E56FC0">
        <w:rPr>
          <w:sz w:val="28"/>
        </w:rPr>
        <w:t>Because Long Creek is not equipped to deal with youth with significant behavioral health needs, and because a</w:t>
      </w:r>
      <w:r w:rsidR="000D3F73">
        <w:rPr>
          <w:sz w:val="28"/>
        </w:rPr>
        <w:t>lmost</w:t>
      </w:r>
      <w:r w:rsidRPr="00E56FC0">
        <w:rPr>
          <w:sz w:val="28"/>
        </w:rPr>
        <w:t xml:space="preserve"> 30% of the population there came</w:t>
      </w:r>
      <w:r w:rsidR="002030F1">
        <w:rPr>
          <w:sz w:val="28"/>
        </w:rPr>
        <w:t xml:space="preserve"> directly from </w:t>
      </w:r>
      <w:r w:rsidR="002030F1">
        <w:rPr>
          <w:sz w:val="28"/>
        </w:rPr>
        <w:lastRenderedPageBreak/>
        <w:t xml:space="preserve">a residential </w:t>
      </w:r>
      <w:r>
        <w:rPr>
          <w:sz w:val="28"/>
        </w:rPr>
        <w:t>program</w:t>
      </w:r>
      <w:r w:rsidRPr="00E56FC0">
        <w:rPr>
          <w:sz w:val="28"/>
        </w:rPr>
        <w:t xml:space="preserve">, it is important to ask why </w:t>
      </w:r>
      <w:r w:rsidR="00B365AE">
        <w:rPr>
          <w:sz w:val="28"/>
        </w:rPr>
        <w:t>youth</w:t>
      </w:r>
      <w:r w:rsidRPr="00E56FC0">
        <w:rPr>
          <w:sz w:val="28"/>
        </w:rPr>
        <w:t xml:space="preserve"> are moving from the behavioral health system to the correctional system in such high numbers.</w:t>
      </w:r>
    </w:p>
    <w:p w:rsidR="00E56FC0" w:rsidRPr="00B25011" w:rsidRDefault="00E56FC0" w:rsidP="00B25011">
      <w:pPr>
        <w:pStyle w:val="NoSpacing"/>
        <w:rPr>
          <w:sz w:val="28"/>
        </w:rPr>
      </w:pPr>
    </w:p>
    <w:p w:rsidR="0073732B" w:rsidRPr="000D3F73" w:rsidRDefault="00EA7761" w:rsidP="000D3F73">
      <w:pPr>
        <w:pStyle w:val="NoSpacing"/>
        <w:rPr>
          <w:sz w:val="28"/>
        </w:rPr>
      </w:pPr>
      <w:r>
        <w:rPr>
          <w:sz w:val="28"/>
        </w:rPr>
        <w:t xml:space="preserve">DRM sought to better understand this issue by researching the calls made to law enforcement agencies from </w:t>
      </w:r>
      <w:r w:rsidR="002030F1">
        <w:rPr>
          <w:sz w:val="28"/>
        </w:rPr>
        <w:t>residential</w:t>
      </w:r>
      <w:r>
        <w:rPr>
          <w:sz w:val="28"/>
        </w:rPr>
        <w:t xml:space="preserve"> programs.  </w:t>
      </w:r>
      <w:r w:rsidRPr="00EA7761">
        <w:rPr>
          <w:sz w:val="28"/>
        </w:rPr>
        <w:t>Af</w:t>
      </w:r>
      <w:r>
        <w:rPr>
          <w:sz w:val="28"/>
        </w:rPr>
        <w:t xml:space="preserve">ter analyzing data from </w:t>
      </w:r>
      <w:r w:rsidR="008F315A">
        <w:rPr>
          <w:sz w:val="28"/>
        </w:rPr>
        <w:t xml:space="preserve">21 </w:t>
      </w:r>
      <w:r>
        <w:rPr>
          <w:sz w:val="28"/>
        </w:rPr>
        <w:t>law enforcement agencies</w:t>
      </w:r>
      <w:r w:rsidRPr="00EA7761">
        <w:rPr>
          <w:sz w:val="28"/>
        </w:rPr>
        <w:t xml:space="preserve"> </w:t>
      </w:r>
      <w:r w:rsidR="00FE0B34">
        <w:rPr>
          <w:sz w:val="28"/>
        </w:rPr>
        <w:t xml:space="preserve">as well as </w:t>
      </w:r>
      <w:r w:rsidR="003E1A36">
        <w:rPr>
          <w:sz w:val="28"/>
        </w:rPr>
        <w:t>all the</w:t>
      </w:r>
      <w:r w:rsidR="008E2335">
        <w:rPr>
          <w:sz w:val="28"/>
        </w:rPr>
        <w:t xml:space="preserve"> </w:t>
      </w:r>
      <w:r>
        <w:rPr>
          <w:sz w:val="28"/>
        </w:rPr>
        <w:t>Reportable E</w:t>
      </w:r>
      <w:r w:rsidRPr="00EA7761">
        <w:rPr>
          <w:sz w:val="28"/>
        </w:rPr>
        <w:t>vents</w:t>
      </w:r>
      <w:r w:rsidR="00B06849">
        <w:rPr>
          <w:rStyle w:val="FootnoteReference"/>
          <w:sz w:val="28"/>
        </w:rPr>
        <w:footnoteReference w:id="16"/>
      </w:r>
      <w:r w:rsidRPr="00EA7761">
        <w:rPr>
          <w:sz w:val="28"/>
        </w:rPr>
        <w:t xml:space="preserve"> from</w:t>
      </w:r>
      <w:r w:rsidR="005E15A0">
        <w:rPr>
          <w:sz w:val="28"/>
        </w:rPr>
        <w:t xml:space="preserve"> DHHS</w:t>
      </w:r>
      <w:r w:rsidR="003E1A36">
        <w:rPr>
          <w:sz w:val="28"/>
        </w:rPr>
        <w:t xml:space="preserve"> for the same time period</w:t>
      </w:r>
      <w:r w:rsidR="00187480">
        <w:rPr>
          <w:sz w:val="28"/>
        </w:rPr>
        <w:t xml:space="preserve">, DRM found that </w:t>
      </w:r>
      <w:r w:rsidR="009C7237">
        <w:rPr>
          <w:sz w:val="28"/>
        </w:rPr>
        <w:t xml:space="preserve">residential </w:t>
      </w:r>
      <w:proofErr w:type="gramStart"/>
      <w:r w:rsidR="00187480">
        <w:rPr>
          <w:sz w:val="28"/>
        </w:rPr>
        <w:t>staff</w:t>
      </w:r>
      <w:r w:rsidR="00EA7741">
        <w:rPr>
          <w:sz w:val="28"/>
        </w:rPr>
        <w:t xml:space="preserve"> frequently</w:t>
      </w:r>
      <w:r w:rsidR="00187480">
        <w:rPr>
          <w:sz w:val="28"/>
        </w:rPr>
        <w:t xml:space="preserve"> call</w:t>
      </w:r>
      <w:proofErr w:type="gramEnd"/>
      <w:r w:rsidR="00187480">
        <w:rPr>
          <w:sz w:val="28"/>
        </w:rPr>
        <w:t xml:space="preserve"> law enforcement for behaviors that are manifestation</w:t>
      </w:r>
      <w:r w:rsidR="009C7237">
        <w:rPr>
          <w:sz w:val="28"/>
        </w:rPr>
        <w:t>s</w:t>
      </w:r>
      <w:r w:rsidR="00187480">
        <w:rPr>
          <w:sz w:val="28"/>
        </w:rPr>
        <w:t xml:space="preserve"> of the youths</w:t>
      </w:r>
      <w:r w:rsidR="009C7237">
        <w:rPr>
          <w:sz w:val="28"/>
        </w:rPr>
        <w:t>’</w:t>
      </w:r>
      <w:r w:rsidR="00187480">
        <w:rPr>
          <w:sz w:val="28"/>
        </w:rPr>
        <w:t xml:space="preserve"> disabilit</w:t>
      </w:r>
      <w:r w:rsidR="00387FDC">
        <w:rPr>
          <w:sz w:val="28"/>
        </w:rPr>
        <w:t>ies</w:t>
      </w:r>
      <w:r w:rsidR="00187480">
        <w:rPr>
          <w:sz w:val="28"/>
        </w:rPr>
        <w:t xml:space="preserve"> and</w:t>
      </w:r>
      <w:r w:rsidR="00EA7741">
        <w:rPr>
          <w:sz w:val="28"/>
        </w:rPr>
        <w:t xml:space="preserve"> the</w:t>
      </w:r>
      <w:r w:rsidR="00187480">
        <w:rPr>
          <w:sz w:val="28"/>
        </w:rPr>
        <w:t xml:space="preserve"> reason</w:t>
      </w:r>
      <w:r w:rsidR="009C7237">
        <w:rPr>
          <w:sz w:val="28"/>
        </w:rPr>
        <w:t>s</w:t>
      </w:r>
      <w:r w:rsidR="00187480">
        <w:rPr>
          <w:sz w:val="28"/>
        </w:rPr>
        <w:t xml:space="preserve"> the youth </w:t>
      </w:r>
      <w:r w:rsidR="009C7237">
        <w:rPr>
          <w:sz w:val="28"/>
        </w:rPr>
        <w:t xml:space="preserve">are </w:t>
      </w:r>
      <w:r w:rsidR="00187480">
        <w:rPr>
          <w:sz w:val="28"/>
        </w:rPr>
        <w:t xml:space="preserve">in treatment.  DRM further found that although DHHS requires providers to report any call to law enforcement, </w:t>
      </w:r>
      <w:r w:rsidR="00EA7741">
        <w:rPr>
          <w:sz w:val="28"/>
        </w:rPr>
        <w:t>two thirds of</w:t>
      </w:r>
      <w:r w:rsidR="00187480">
        <w:rPr>
          <w:sz w:val="28"/>
        </w:rPr>
        <w:t xml:space="preserve"> </w:t>
      </w:r>
      <w:r w:rsidR="00F542E3">
        <w:rPr>
          <w:sz w:val="28"/>
        </w:rPr>
        <w:t>these calls</w:t>
      </w:r>
      <w:r w:rsidR="00187480">
        <w:rPr>
          <w:sz w:val="28"/>
        </w:rPr>
        <w:t xml:space="preserve"> go unreported.</w:t>
      </w:r>
    </w:p>
    <w:p w:rsidR="00B365AE" w:rsidRDefault="00B365AE">
      <w:pPr>
        <w:rPr>
          <w:rFonts w:asciiTheme="majorHAnsi" w:eastAsiaTheme="majorEastAsia" w:hAnsiTheme="majorHAnsi" w:cstheme="majorBidi"/>
          <w:color w:val="17365D" w:themeColor="text2" w:themeShade="BF"/>
          <w:spacing w:val="5"/>
          <w:kern w:val="28"/>
          <w:sz w:val="52"/>
          <w:szCs w:val="52"/>
        </w:rPr>
      </w:pPr>
      <w:r>
        <w:br w:type="page"/>
      </w:r>
    </w:p>
    <w:p w:rsidR="00B25011" w:rsidRDefault="00187480" w:rsidP="0030055D">
      <w:pPr>
        <w:pStyle w:val="Heading1"/>
      </w:pPr>
      <w:bookmarkStart w:id="2" w:name="_Toc489971859"/>
      <w:r>
        <w:lastRenderedPageBreak/>
        <w:t>Data Collection</w:t>
      </w:r>
      <w:bookmarkEnd w:id="2"/>
    </w:p>
    <w:p w:rsidR="00187480" w:rsidRDefault="00187480" w:rsidP="00187480">
      <w:pPr>
        <w:pStyle w:val="NoSpacing"/>
        <w:rPr>
          <w:sz w:val="28"/>
        </w:rPr>
      </w:pPr>
      <w:r w:rsidRPr="00187480">
        <w:rPr>
          <w:sz w:val="28"/>
        </w:rPr>
        <w:t xml:space="preserve">DRM </w:t>
      </w:r>
      <w:r>
        <w:rPr>
          <w:sz w:val="28"/>
        </w:rPr>
        <w:t>requested information</w:t>
      </w:r>
      <w:r w:rsidRPr="00187480">
        <w:rPr>
          <w:sz w:val="28"/>
        </w:rPr>
        <w:t xml:space="preserve"> from state, county, and local law enforcement agencies </w:t>
      </w:r>
      <w:r w:rsidR="00B365AE">
        <w:rPr>
          <w:sz w:val="28"/>
        </w:rPr>
        <w:t>regarding</w:t>
      </w:r>
      <w:r w:rsidRPr="00187480">
        <w:rPr>
          <w:sz w:val="28"/>
        </w:rPr>
        <w:t xml:space="preserve"> calls for assistance from </w:t>
      </w:r>
      <w:r w:rsidR="002030F1">
        <w:rPr>
          <w:sz w:val="28"/>
        </w:rPr>
        <w:t>residential</w:t>
      </w:r>
      <w:r>
        <w:rPr>
          <w:sz w:val="28"/>
        </w:rPr>
        <w:t xml:space="preserve"> programs</w:t>
      </w:r>
      <w:r w:rsidR="002453C0">
        <w:rPr>
          <w:sz w:val="28"/>
        </w:rPr>
        <w:t xml:space="preserve"> from January 1, 2016 through January 31, 2017</w:t>
      </w:r>
      <w:r w:rsidR="005712B0">
        <w:rPr>
          <w:sz w:val="28"/>
        </w:rPr>
        <w:t>.</w:t>
      </w:r>
    </w:p>
    <w:p w:rsidR="002453C0" w:rsidRPr="00187480" w:rsidRDefault="002453C0" w:rsidP="00187480">
      <w:pPr>
        <w:pStyle w:val="NoSpacing"/>
        <w:rPr>
          <w:sz w:val="28"/>
        </w:rPr>
      </w:pPr>
    </w:p>
    <w:p w:rsidR="00187480" w:rsidRPr="00187480" w:rsidRDefault="00DA08C2" w:rsidP="00187480">
      <w:pPr>
        <w:pStyle w:val="NoSpacing"/>
        <w:rPr>
          <w:sz w:val="28"/>
        </w:rPr>
      </w:pPr>
      <w:r w:rsidRPr="00DA08C2">
        <w:rPr>
          <w:sz w:val="28"/>
        </w:rPr>
        <w:t xml:space="preserve">All </w:t>
      </w:r>
      <w:r>
        <w:rPr>
          <w:sz w:val="28"/>
        </w:rPr>
        <w:t xml:space="preserve">21 </w:t>
      </w:r>
      <w:r w:rsidRPr="00DA08C2">
        <w:rPr>
          <w:sz w:val="28"/>
        </w:rPr>
        <w:t xml:space="preserve">law enforcement agencies provided information responsive to DRM’s request.  </w:t>
      </w:r>
      <w:r w:rsidR="00187480" w:rsidRPr="00187480">
        <w:rPr>
          <w:sz w:val="28"/>
        </w:rPr>
        <w:t>So</w:t>
      </w:r>
      <w:r w:rsidR="006F2C9E">
        <w:rPr>
          <w:sz w:val="28"/>
        </w:rPr>
        <w:t xml:space="preserve">me law enforcement agencies provided </w:t>
      </w:r>
      <w:r w:rsidR="008F315A">
        <w:rPr>
          <w:sz w:val="28"/>
        </w:rPr>
        <w:t xml:space="preserve">basic </w:t>
      </w:r>
      <w:r w:rsidR="000B585B">
        <w:rPr>
          <w:sz w:val="28"/>
        </w:rPr>
        <w:t>information</w:t>
      </w:r>
      <w:r w:rsidR="00620BB5">
        <w:rPr>
          <w:sz w:val="28"/>
        </w:rPr>
        <w:t>,</w:t>
      </w:r>
      <w:r w:rsidR="000B585B">
        <w:rPr>
          <w:sz w:val="28"/>
        </w:rPr>
        <w:t xml:space="preserve"> including</w:t>
      </w:r>
      <w:r w:rsidR="006F2C9E">
        <w:rPr>
          <w:sz w:val="28"/>
        </w:rPr>
        <w:t xml:space="preserve"> the date, who called, and a brief statement as the reason for the call</w:t>
      </w:r>
      <w:r w:rsidR="00620BB5">
        <w:rPr>
          <w:sz w:val="28"/>
        </w:rPr>
        <w:t>;</w:t>
      </w:r>
      <w:r w:rsidR="006F2C9E">
        <w:rPr>
          <w:sz w:val="28"/>
        </w:rPr>
        <w:t xml:space="preserve"> while others provided that information and detailed descriptions of the incident</w:t>
      </w:r>
      <w:r w:rsidR="00187480" w:rsidRPr="00187480">
        <w:rPr>
          <w:sz w:val="28"/>
        </w:rPr>
        <w:t xml:space="preserve">.  </w:t>
      </w:r>
      <w:r w:rsidR="00387FDC">
        <w:rPr>
          <w:sz w:val="28"/>
        </w:rPr>
        <w:t>Once DRM removed calls that were unrelated to juveniles from the data set, there were 815 documented calls to law enforcement from residential programs over this 13 month period.</w:t>
      </w:r>
    </w:p>
    <w:p w:rsidR="00187480" w:rsidRPr="00187480" w:rsidRDefault="00187480" w:rsidP="00187480">
      <w:pPr>
        <w:pStyle w:val="NoSpacing"/>
        <w:rPr>
          <w:sz w:val="28"/>
        </w:rPr>
      </w:pPr>
    </w:p>
    <w:p w:rsidR="002701AA" w:rsidRDefault="00EB2B2E" w:rsidP="002701AA">
      <w:pPr>
        <w:pStyle w:val="NoSpacing"/>
        <w:rPr>
          <w:sz w:val="28"/>
        </w:rPr>
      </w:pPr>
      <w:r w:rsidRPr="00EB2B2E">
        <w:rPr>
          <w:sz w:val="28"/>
        </w:rPr>
        <w:t xml:space="preserve">DHHS requires that </w:t>
      </w:r>
      <w:r w:rsidR="002030F1">
        <w:rPr>
          <w:sz w:val="28"/>
        </w:rPr>
        <w:t xml:space="preserve">residential </w:t>
      </w:r>
      <w:r w:rsidRPr="00EB2B2E">
        <w:rPr>
          <w:sz w:val="28"/>
        </w:rPr>
        <w:t xml:space="preserve">programs report any call for assistance to a law enforcement agency as a </w:t>
      </w:r>
      <w:r w:rsidR="008F315A">
        <w:rPr>
          <w:sz w:val="28"/>
        </w:rPr>
        <w:t>“</w:t>
      </w:r>
      <w:r w:rsidRPr="00EB2B2E">
        <w:rPr>
          <w:sz w:val="28"/>
        </w:rPr>
        <w:t>dangerous situation</w:t>
      </w:r>
      <w:r w:rsidR="008F315A">
        <w:rPr>
          <w:sz w:val="28"/>
        </w:rPr>
        <w:t>”</w:t>
      </w:r>
      <w:r w:rsidRPr="00EB2B2E">
        <w:rPr>
          <w:sz w:val="28"/>
        </w:rPr>
        <w:t xml:space="preserve"> within 24 hours of the incident.</w:t>
      </w:r>
      <w:r w:rsidR="00E60F5A">
        <w:rPr>
          <w:rStyle w:val="FootnoteReference"/>
          <w:sz w:val="28"/>
        </w:rPr>
        <w:footnoteReference w:id="17"/>
      </w:r>
      <w:r w:rsidRPr="00EB2B2E">
        <w:rPr>
          <w:sz w:val="28"/>
        </w:rPr>
        <w:t xml:space="preserve">  </w:t>
      </w:r>
      <w:r w:rsidR="002E1821">
        <w:rPr>
          <w:sz w:val="28"/>
        </w:rPr>
        <w:t>DRM</w:t>
      </w:r>
      <w:r w:rsidR="00187480" w:rsidRPr="00187480">
        <w:rPr>
          <w:sz w:val="28"/>
        </w:rPr>
        <w:t xml:space="preserve"> </w:t>
      </w:r>
      <w:r w:rsidR="002E1821">
        <w:rPr>
          <w:sz w:val="28"/>
        </w:rPr>
        <w:t xml:space="preserve">requested and </w:t>
      </w:r>
      <w:r w:rsidR="00187480" w:rsidRPr="00187480">
        <w:rPr>
          <w:sz w:val="28"/>
        </w:rPr>
        <w:t xml:space="preserve">reviewed </w:t>
      </w:r>
      <w:r>
        <w:rPr>
          <w:sz w:val="28"/>
        </w:rPr>
        <w:t xml:space="preserve">the incidents </w:t>
      </w:r>
      <w:r w:rsidR="000C23B5">
        <w:rPr>
          <w:sz w:val="28"/>
        </w:rPr>
        <w:t xml:space="preserve">that were reported </w:t>
      </w:r>
      <w:r>
        <w:rPr>
          <w:sz w:val="28"/>
        </w:rPr>
        <w:t>to DHHS</w:t>
      </w:r>
      <w:r w:rsidR="00BB4F57">
        <w:rPr>
          <w:sz w:val="28"/>
        </w:rPr>
        <w:t xml:space="preserve"> </w:t>
      </w:r>
      <w:r w:rsidR="002E1821">
        <w:rPr>
          <w:sz w:val="28"/>
        </w:rPr>
        <w:t>that corresponded with</w:t>
      </w:r>
      <w:r w:rsidR="00BB4F57">
        <w:rPr>
          <w:sz w:val="28"/>
        </w:rPr>
        <w:t xml:space="preserve"> the sa</w:t>
      </w:r>
      <w:r w:rsidR="008F315A">
        <w:rPr>
          <w:sz w:val="28"/>
        </w:rPr>
        <w:t>m</w:t>
      </w:r>
      <w:r w:rsidR="00BB4F57">
        <w:rPr>
          <w:sz w:val="28"/>
        </w:rPr>
        <w:t>e facilities and the same time period</w:t>
      </w:r>
      <w:r w:rsidR="002E1821">
        <w:rPr>
          <w:sz w:val="28"/>
        </w:rPr>
        <w:t xml:space="preserve"> as the law enforcement records</w:t>
      </w:r>
      <w:r w:rsidR="00F837C4" w:rsidRPr="00187480">
        <w:rPr>
          <w:sz w:val="28"/>
        </w:rPr>
        <w:t xml:space="preserve">.  </w:t>
      </w:r>
      <w:r w:rsidR="00F53A6B">
        <w:rPr>
          <w:sz w:val="28"/>
        </w:rPr>
        <w:t>Then DRM cross-referenced these two sets of records</w:t>
      </w:r>
      <w:r w:rsidR="005712B0">
        <w:rPr>
          <w:sz w:val="28"/>
        </w:rPr>
        <w:t>.</w:t>
      </w:r>
    </w:p>
    <w:p w:rsidR="002701AA" w:rsidRDefault="002701AA">
      <w:pPr>
        <w:rPr>
          <w:sz w:val="28"/>
        </w:rPr>
      </w:pPr>
      <w:r>
        <w:rPr>
          <w:sz w:val="28"/>
        </w:rPr>
        <w:br w:type="page"/>
      </w:r>
    </w:p>
    <w:p w:rsidR="000F12C6" w:rsidRPr="002701AA" w:rsidRDefault="00D839CE" w:rsidP="002701AA">
      <w:pPr>
        <w:pStyle w:val="Heading1"/>
        <w:rPr>
          <w:rFonts w:asciiTheme="minorHAnsi" w:eastAsiaTheme="minorHAnsi" w:hAnsiTheme="minorHAnsi" w:cstheme="minorBidi"/>
          <w:color w:val="auto"/>
          <w:spacing w:val="0"/>
          <w:kern w:val="0"/>
          <w:sz w:val="28"/>
          <w:szCs w:val="22"/>
        </w:rPr>
      </w:pPr>
      <w:bookmarkStart w:id="3" w:name="_Toc489971860"/>
      <w:r>
        <w:lastRenderedPageBreak/>
        <w:t>Data Analysis</w:t>
      </w:r>
      <w:bookmarkEnd w:id="3"/>
    </w:p>
    <w:p w:rsidR="002701AA" w:rsidRDefault="002030F1" w:rsidP="002701AA">
      <w:pPr>
        <w:pStyle w:val="NoSpacing"/>
        <w:rPr>
          <w:sz w:val="28"/>
        </w:rPr>
      </w:pPr>
      <w:r>
        <w:rPr>
          <w:sz w:val="28"/>
        </w:rPr>
        <w:t xml:space="preserve">DRM found that there were many reasons calls were </w:t>
      </w:r>
      <w:r w:rsidR="00124D15">
        <w:rPr>
          <w:sz w:val="28"/>
        </w:rPr>
        <w:t>placed from residential programs</w:t>
      </w:r>
      <w:r>
        <w:rPr>
          <w:sz w:val="28"/>
        </w:rPr>
        <w:t xml:space="preserve"> to law enforcement agencies</w:t>
      </w:r>
      <w:r w:rsidR="00F837C4">
        <w:rPr>
          <w:sz w:val="28"/>
        </w:rPr>
        <w:t xml:space="preserve">.  </w:t>
      </w:r>
      <w:r w:rsidR="00B3788B">
        <w:rPr>
          <w:sz w:val="28"/>
        </w:rPr>
        <w:t xml:space="preserve">However, </w:t>
      </w:r>
      <w:r w:rsidR="00C117E3">
        <w:rPr>
          <w:sz w:val="28"/>
        </w:rPr>
        <w:t xml:space="preserve">the </w:t>
      </w:r>
      <w:r w:rsidR="005E15A0">
        <w:rPr>
          <w:sz w:val="28"/>
        </w:rPr>
        <w:t xml:space="preserve">majority </w:t>
      </w:r>
      <w:r w:rsidR="00124D15">
        <w:rPr>
          <w:sz w:val="28"/>
        </w:rPr>
        <w:t xml:space="preserve">of calls </w:t>
      </w:r>
      <w:r w:rsidR="007D6508">
        <w:rPr>
          <w:sz w:val="28"/>
        </w:rPr>
        <w:t>appeared to be</w:t>
      </w:r>
      <w:r w:rsidR="00C117E3">
        <w:rPr>
          <w:sz w:val="28"/>
        </w:rPr>
        <w:t xml:space="preserve"> for </w:t>
      </w:r>
      <w:r w:rsidR="00623D13">
        <w:rPr>
          <w:sz w:val="28"/>
        </w:rPr>
        <w:t>reasons</w:t>
      </w:r>
      <w:r w:rsidR="00C117E3">
        <w:rPr>
          <w:sz w:val="28"/>
        </w:rPr>
        <w:t xml:space="preserve"> related to the youth’s disability and need for treatment</w:t>
      </w:r>
      <w:r w:rsidR="00124D15">
        <w:rPr>
          <w:sz w:val="28"/>
        </w:rPr>
        <w:t>,</w:t>
      </w:r>
      <w:r w:rsidR="00C117E3">
        <w:rPr>
          <w:sz w:val="28"/>
        </w:rPr>
        <w:t xml:space="preserve"> as seen in Figure 1</w:t>
      </w:r>
      <w:r w:rsidR="001C5374">
        <w:rPr>
          <w:sz w:val="28"/>
        </w:rPr>
        <w:t xml:space="preserve"> and explored further below</w:t>
      </w:r>
      <w:r w:rsidR="00C117E3">
        <w:rPr>
          <w:sz w:val="28"/>
        </w:rPr>
        <w:t>.</w:t>
      </w:r>
    </w:p>
    <w:p w:rsidR="002701AA" w:rsidRDefault="002701AA" w:rsidP="002701AA">
      <w:pPr>
        <w:pStyle w:val="NoSpacing"/>
        <w:rPr>
          <w:sz w:val="28"/>
        </w:rPr>
      </w:pPr>
    </w:p>
    <w:p w:rsidR="00854AD4" w:rsidRDefault="00E8604D" w:rsidP="002701AA">
      <w:pPr>
        <w:pStyle w:val="NoSpacing"/>
        <w:rPr>
          <w:sz w:val="28"/>
        </w:rPr>
      </w:pPr>
      <w:r w:rsidRPr="00EE7D32">
        <w:rPr>
          <w:b/>
          <w:sz w:val="28"/>
        </w:rPr>
        <w:t>Figure 1</w:t>
      </w:r>
      <w:r w:rsidR="008E02EE" w:rsidRPr="008E02EE">
        <w:rPr>
          <w:noProof/>
        </w:rPr>
        <w:t xml:space="preserve"> </w:t>
      </w:r>
      <w:r w:rsidR="00FB10FC">
        <w:rPr>
          <w:noProof/>
        </w:rPr>
        <w:drawing>
          <wp:inline distT="0" distB="0" distL="0" distR="0" wp14:anchorId="3045FCA0" wp14:editId="07F96058">
            <wp:extent cx="5943600" cy="4015105"/>
            <wp:effectExtent l="0" t="0" r="0" b="4445"/>
            <wp:docPr id="4" name="Chart 4" descr="Pie Chart:&#10;&#10;Runaway/Missing - 37.8%&#10;Juvenile Problem - 38.5%&#10;Mental Health/Medical - 10.2%&#10;Assault - 6.7%&#10;Investigation/Information - 3.2%&#10;Probation - 1.5%&#10;Other - 2.1%&#10;&#10;Other Includes the Following:&#10;Sex Offense - 0.6%&#10;Drugs - 0.5%&#10;LE Visit - 0.5%&#10;Theft - 0.4%&#10;Other - 0.1%" title="Reasons for Calls to Law Enforcement from Residential Treatment Fac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7D32" w:rsidRDefault="00EE7D32" w:rsidP="00547702">
      <w:pPr>
        <w:pStyle w:val="NoSpacing"/>
        <w:rPr>
          <w:sz w:val="28"/>
        </w:rPr>
      </w:pPr>
    </w:p>
    <w:p w:rsidR="00547702" w:rsidRPr="00547702" w:rsidRDefault="00B47DB1" w:rsidP="00547702">
      <w:pPr>
        <w:pStyle w:val="NoSpacing"/>
        <w:rPr>
          <w:sz w:val="28"/>
        </w:rPr>
      </w:pPr>
      <w:r>
        <w:rPr>
          <w:sz w:val="28"/>
        </w:rPr>
        <w:t>A significan</w:t>
      </w:r>
      <w:r w:rsidR="008F34FC">
        <w:rPr>
          <w:sz w:val="28"/>
        </w:rPr>
        <w:t>t number of calls were coded as</w:t>
      </w:r>
      <w:r w:rsidR="00E8604D" w:rsidRPr="00E8604D">
        <w:rPr>
          <w:sz w:val="28"/>
        </w:rPr>
        <w:t xml:space="preserve"> </w:t>
      </w:r>
      <w:r>
        <w:rPr>
          <w:sz w:val="28"/>
        </w:rPr>
        <w:t xml:space="preserve">a </w:t>
      </w:r>
      <w:r w:rsidR="00BB4F57">
        <w:rPr>
          <w:sz w:val="28"/>
        </w:rPr>
        <w:t>“</w:t>
      </w:r>
      <w:r w:rsidR="00E8604D" w:rsidRPr="00E8604D">
        <w:rPr>
          <w:sz w:val="28"/>
        </w:rPr>
        <w:t>Juvenile Problem</w:t>
      </w:r>
      <w:r w:rsidR="00146DFF">
        <w:rPr>
          <w:sz w:val="28"/>
        </w:rPr>
        <w:t>.</w:t>
      </w:r>
      <w:r w:rsidR="00F837C4">
        <w:rPr>
          <w:sz w:val="28"/>
        </w:rPr>
        <w:t>”</w:t>
      </w:r>
      <w:r w:rsidR="00F837C4" w:rsidRPr="00E8604D">
        <w:rPr>
          <w:sz w:val="28"/>
        </w:rPr>
        <w:t xml:space="preserve">  </w:t>
      </w:r>
      <w:r w:rsidR="00E8604D" w:rsidRPr="00E8604D">
        <w:rPr>
          <w:sz w:val="28"/>
        </w:rPr>
        <w:t xml:space="preserve">This encompasses a wide array of incidents: </w:t>
      </w:r>
      <w:r w:rsidR="00E8604D">
        <w:rPr>
          <w:sz w:val="28"/>
        </w:rPr>
        <w:t>property damage</w:t>
      </w:r>
      <w:r w:rsidR="00E8604D" w:rsidRPr="00E8604D">
        <w:rPr>
          <w:sz w:val="28"/>
        </w:rPr>
        <w:t>, hara</w:t>
      </w:r>
      <w:r w:rsidR="00E8604D">
        <w:rPr>
          <w:sz w:val="28"/>
        </w:rPr>
        <w:t>ssment, threatening</w:t>
      </w:r>
      <w:r w:rsidR="00E8604D" w:rsidRPr="00E8604D">
        <w:rPr>
          <w:sz w:val="28"/>
        </w:rPr>
        <w:t xml:space="preserve">, disturbance, misuse of 911, misuse of fire alarm, “out of control youth,” </w:t>
      </w:r>
      <w:r w:rsidR="00E8604D">
        <w:rPr>
          <w:sz w:val="28"/>
        </w:rPr>
        <w:t xml:space="preserve">youth </w:t>
      </w:r>
      <w:r w:rsidR="00E8604D" w:rsidRPr="00E8604D">
        <w:rPr>
          <w:sz w:val="28"/>
        </w:rPr>
        <w:t>barricading room, “acting u</w:t>
      </w:r>
      <w:r w:rsidR="00E8604D">
        <w:rPr>
          <w:sz w:val="28"/>
        </w:rPr>
        <w:t>p,” or any combination of behavioral</w:t>
      </w:r>
      <w:r w:rsidR="00E8604D" w:rsidRPr="00E8604D">
        <w:rPr>
          <w:sz w:val="28"/>
        </w:rPr>
        <w:t xml:space="preserve"> health/medical and assaultive behaviors</w:t>
      </w:r>
      <w:r w:rsidR="00F837C4">
        <w:rPr>
          <w:sz w:val="28"/>
        </w:rPr>
        <w:t xml:space="preserve">.  </w:t>
      </w:r>
      <w:r w:rsidR="00547702" w:rsidRPr="00547702">
        <w:rPr>
          <w:sz w:val="28"/>
        </w:rPr>
        <w:t>For example</w:t>
      </w:r>
      <w:r w:rsidR="00C91B63">
        <w:rPr>
          <w:sz w:val="28"/>
        </w:rPr>
        <w:t xml:space="preserve">, </w:t>
      </w:r>
      <w:r w:rsidR="00BB4F57">
        <w:rPr>
          <w:sz w:val="28"/>
        </w:rPr>
        <w:t xml:space="preserve">one police report detailed a situation where police were asked to take a youth to </w:t>
      </w:r>
      <w:r w:rsidR="00B4132D">
        <w:rPr>
          <w:sz w:val="28"/>
        </w:rPr>
        <w:t>a</w:t>
      </w:r>
      <w:r w:rsidR="00F62FC9">
        <w:rPr>
          <w:sz w:val="28"/>
        </w:rPr>
        <w:t xml:space="preserve"> CSU</w:t>
      </w:r>
      <w:r w:rsidR="00BB4F57">
        <w:rPr>
          <w:sz w:val="28"/>
        </w:rPr>
        <w:t>, even though the youth was not in crisis</w:t>
      </w:r>
      <w:r w:rsidR="00547702" w:rsidRPr="00547702">
        <w:rPr>
          <w:sz w:val="28"/>
        </w:rPr>
        <w:t>:</w:t>
      </w:r>
    </w:p>
    <w:p w:rsidR="00547702" w:rsidRPr="00547702" w:rsidRDefault="00547702" w:rsidP="00547702">
      <w:pPr>
        <w:pStyle w:val="NoSpacing"/>
        <w:rPr>
          <w:sz w:val="28"/>
        </w:rPr>
      </w:pPr>
    </w:p>
    <w:p w:rsidR="00547702" w:rsidRPr="00BD5298" w:rsidRDefault="00547702" w:rsidP="001F05E1">
      <w:pPr>
        <w:pStyle w:val="NoSpacing"/>
        <w:spacing w:before="240" w:after="240"/>
        <w:ind w:left="720" w:right="720"/>
        <w:rPr>
          <w:sz w:val="28"/>
        </w:rPr>
      </w:pPr>
      <w:proofErr w:type="gramStart"/>
      <w:r w:rsidRPr="00FC75E0">
        <w:rPr>
          <w:i/>
          <w:sz w:val="28"/>
        </w:rPr>
        <w:lastRenderedPageBreak/>
        <w:t>“[Facility] staff requesting assistanc</w:t>
      </w:r>
      <w:r w:rsidR="00BD5298" w:rsidRPr="00FC75E0">
        <w:rPr>
          <w:i/>
          <w:sz w:val="28"/>
        </w:rPr>
        <w:t xml:space="preserve">e with transporting [Youth] for </w:t>
      </w:r>
      <w:r w:rsidRPr="00FC75E0">
        <w:rPr>
          <w:i/>
          <w:sz w:val="28"/>
        </w:rPr>
        <w:t>evaluation</w:t>
      </w:r>
      <w:r w:rsidR="00F837C4" w:rsidRPr="00FC75E0">
        <w:rPr>
          <w:i/>
          <w:sz w:val="28"/>
        </w:rPr>
        <w:t>.</w:t>
      </w:r>
      <w:proofErr w:type="gramEnd"/>
      <w:r w:rsidR="00F837C4" w:rsidRPr="00FC75E0">
        <w:rPr>
          <w:i/>
          <w:sz w:val="28"/>
        </w:rPr>
        <w:t xml:space="preserve">  </w:t>
      </w:r>
      <w:r w:rsidRPr="00FC75E0">
        <w:rPr>
          <w:i/>
          <w:sz w:val="28"/>
        </w:rPr>
        <w:t>Upon arrival she was in her room relaxed and has been placed on a two on one watch</w:t>
      </w:r>
      <w:r w:rsidR="00F837C4" w:rsidRPr="00FC75E0">
        <w:rPr>
          <w:i/>
          <w:sz w:val="28"/>
        </w:rPr>
        <w:t xml:space="preserve">.  </w:t>
      </w:r>
      <w:r w:rsidRPr="00FC75E0">
        <w:rPr>
          <w:i/>
          <w:sz w:val="28"/>
        </w:rPr>
        <w:t>She made suicidal statements, threats of violence and denied that she tried to kill herself with her necklace three days ago...[Youth] denied transport, stating that she has a medical right to refuse...</w:t>
      </w:r>
      <w:r w:rsidR="00F837C4" w:rsidRPr="00FC75E0">
        <w:rPr>
          <w:i/>
          <w:sz w:val="28"/>
        </w:rPr>
        <w:t>”</w:t>
      </w:r>
      <w:r w:rsidR="00F837C4" w:rsidRPr="00BD5298">
        <w:rPr>
          <w:sz w:val="28"/>
        </w:rPr>
        <w:t xml:space="preserve">  </w:t>
      </w:r>
      <w:r w:rsidRPr="00BD5298">
        <w:rPr>
          <w:sz w:val="28"/>
        </w:rPr>
        <w:t>The officer</w:t>
      </w:r>
      <w:r w:rsidR="000939B3" w:rsidRPr="00BD5298">
        <w:rPr>
          <w:sz w:val="28"/>
        </w:rPr>
        <w:t xml:space="preserve"> then spent two hours at the residential program</w:t>
      </w:r>
      <w:r w:rsidRPr="00BD5298">
        <w:rPr>
          <w:sz w:val="28"/>
        </w:rPr>
        <w:t xml:space="preserve"> and determined no basis for transport</w:t>
      </w:r>
      <w:r w:rsidR="00F837C4" w:rsidRPr="00BD5298">
        <w:rPr>
          <w:sz w:val="28"/>
        </w:rPr>
        <w:t xml:space="preserve">.  </w:t>
      </w:r>
      <w:r w:rsidRPr="00BD5298">
        <w:rPr>
          <w:sz w:val="28"/>
        </w:rPr>
        <w:t xml:space="preserve">After telling the staff he would not transport, </w:t>
      </w:r>
      <w:r w:rsidRPr="00FC75E0">
        <w:rPr>
          <w:i/>
          <w:sz w:val="28"/>
        </w:rPr>
        <w:t>“one staff member started crying, screaming at me ‘if she kills herself you are at fault,’ she then went into the medications room, smashing the wall with her fist and hollering</w:t>
      </w:r>
      <w:r w:rsidR="00F837C4" w:rsidRPr="00FC75E0">
        <w:rPr>
          <w:i/>
          <w:sz w:val="28"/>
        </w:rPr>
        <w:t xml:space="preserve">.  </w:t>
      </w:r>
      <w:r w:rsidRPr="00FC75E0">
        <w:rPr>
          <w:i/>
          <w:sz w:val="28"/>
        </w:rPr>
        <w:t>She displayed far more reason for transport than the 13-year-old does.”</w:t>
      </w:r>
    </w:p>
    <w:p w:rsidR="00BB4F57" w:rsidRDefault="00BB4F57" w:rsidP="003A60FF">
      <w:pPr>
        <w:pStyle w:val="NoSpacing"/>
        <w:rPr>
          <w:sz w:val="28"/>
        </w:rPr>
      </w:pPr>
      <w:r>
        <w:rPr>
          <w:sz w:val="28"/>
        </w:rPr>
        <w:t>Another incident</w:t>
      </w:r>
      <w:r w:rsidR="00F15E61">
        <w:rPr>
          <w:sz w:val="28"/>
        </w:rPr>
        <w:t>, summarized</w:t>
      </w:r>
      <w:r>
        <w:rPr>
          <w:sz w:val="28"/>
        </w:rPr>
        <w:t xml:space="preserve"> from police records</w:t>
      </w:r>
      <w:r w:rsidR="00F15E61">
        <w:rPr>
          <w:sz w:val="28"/>
        </w:rPr>
        <w:t>,</w:t>
      </w:r>
      <w:r>
        <w:rPr>
          <w:sz w:val="28"/>
        </w:rPr>
        <w:t xml:space="preserve"> shows that police were called when a youth was upset about a call home to her mother: </w:t>
      </w:r>
    </w:p>
    <w:p w:rsidR="00C91B63" w:rsidRPr="00BD5298" w:rsidRDefault="00C91B63" w:rsidP="001F05E1">
      <w:pPr>
        <w:pStyle w:val="NoSpacing"/>
        <w:spacing w:before="240" w:after="240"/>
        <w:ind w:left="720" w:right="720"/>
        <w:rPr>
          <w:sz w:val="28"/>
        </w:rPr>
      </w:pPr>
      <w:r w:rsidRPr="00BD5298">
        <w:rPr>
          <w:sz w:val="28"/>
        </w:rPr>
        <w:t>Law enforcement responded to call that a youth at a residential program was causing damage to an office</w:t>
      </w:r>
      <w:r w:rsidR="00F837C4" w:rsidRPr="00BD5298">
        <w:rPr>
          <w:sz w:val="28"/>
        </w:rPr>
        <w:t xml:space="preserve">.  </w:t>
      </w:r>
      <w:r w:rsidRPr="00BD5298">
        <w:rPr>
          <w:sz w:val="28"/>
        </w:rPr>
        <w:t xml:space="preserve">The </w:t>
      </w:r>
      <w:r w:rsidR="00B365AE">
        <w:rPr>
          <w:sz w:val="28"/>
        </w:rPr>
        <w:t xml:space="preserve">youth </w:t>
      </w:r>
      <w:r w:rsidRPr="00BD5298">
        <w:rPr>
          <w:sz w:val="28"/>
        </w:rPr>
        <w:t>had been on the phone with her mother, and then ripped the phone off the desk and began throwing things around the office, before being restrained by three staff members</w:t>
      </w:r>
      <w:r w:rsidR="00F837C4" w:rsidRPr="00BD5298">
        <w:rPr>
          <w:sz w:val="28"/>
        </w:rPr>
        <w:t xml:space="preserve">.  </w:t>
      </w:r>
      <w:r w:rsidRPr="00BD5298">
        <w:rPr>
          <w:sz w:val="28"/>
        </w:rPr>
        <w:t xml:space="preserve">Staff told the officer the youth </w:t>
      </w:r>
      <w:r w:rsidRPr="00FC75E0">
        <w:rPr>
          <w:i/>
          <w:sz w:val="28"/>
        </w:rPr>
        <w:t>“had a bad talk with her mom.</w:t>
      </w:r>
      <w:r w:rsidR="00F837C4" w:rsidRPr="00FC75E0">
        <w:rPr>
          <w:i/>
          <w:sz w:val="28"/>
        </w:rPr>
        <w:t>”</w:t>
      </w:r>
      <w:r w:rsidR="00F837C4" w:rsidRPr="00BD5298">
        <w:rPr>
          <w:sz w:val="28"/>
        </w:rPr>
        <w:t xml:space="preserve">  </w:t>
      </w:r>
      <w:r w:rsidRPr="00BD5298">
        <w:rPr>
          <w:sz w:val="28"/>
        </w:rPr>
        <w:t xml:space="preserve">The night shift supervisor requested that </w:t>
      </w:r>
      <w:r w:rsidRPr="00FC75E0">
        <w:rPr>
          <w:i/>
          <w:sz w:val="28"/>
        </w:rPr>
        <w:t>“due to the extent of the damage, they would like the [youth] charged.”</w:t>
      </w:r>
      <w:r w:rsidRPr="00BD5298">
        <w:rPr>
          <w:sz w:val="28"/>
        </w:rPr>
        <w:t xml:space="preserve">  </w:t>
      </w:r>
    </w:p>
    <w:p w:rsidR="00BB4F57" w:rsidRDefault="002604C4" w:rsidP="00547702">
      <w:pPr>
        <w:pStyle w:val="NoSpacing"/>
        <w:rPr>
          <w:sz w:val="28"/>
        </w:rPr>
      </w:pPr>
      <w:r>
        <w:rPr>
          <w:sz w:val="28"/>
        </w:rPr>
        <w:t>After “Juvenile Problem,” t</w:t>
      </w:r>
      <w:r w:rsidR="00547702" w:rsidRPr="00547702">
        <w:rPr>
          <w:sz w:val="28"/>
        </w:rPr>
        <w:t xml:space="preserve">he second most prominent category </w:t>
      </w:r>
      <w:r w:rsidR="00C36B91">
        <w:rPr>
          <w:sz w:val="28"/>
        </w:rPr>
        <w:t>within</w:t>
      </w:r>
      <w:r w:rsidR="00547702" w:rsidRPr="00547702">
        <w:rPr>
          <w:sz w:val="28"/>
        </w:rPr>
        <w:t xml:space="preserve"> the data </w:t>
      </w:r>
      <w:r w:rsidR="001F05E1">
        <w:rPr>
          <w:sz w:val="28"/>
        </w:rPr>
        <w:t>s</w:t>
      </w:r>
      <w:r w:rsidR="00547702" w:rsidRPr="00547702">
        <w:rPr>
          <w:sz w:val="28"/>
        </w:rPr>
        <w:t xml:space="preserve">et is </w:t>
      </w:r>
      <w:r w:rsidR="00BB4F57">
        <w:rPr>
          <w:sz w:val="28"/>
        </w:rPr>
        <w:t>“</w:t>
      </w:r>
      <w:r w:rsidR="00547702" w:rsidRPr="00547702">
        <w:rPr>
          <w:sz w:val="28"/>
        </w:rPr>
        <w:t>Runaway</w:t>
      </w:r>
      <w:r w:rsidR="00F62FC9">
        <w:rPr>
          <w:sz w:val="28"/>
        </w:rPr>
        <w:t>/Missing</w:t>
      </w:r>
      <w:r>
        <w:rPr>
          <w:sz w:val="28"/>
        </w:rPr>
        <w:t>.</w:t>
      </w:r>
      <w:r w:rsidR="00F837C4">
        <w:rPr>
          <w:sz w:val="28"/>
        </w:rPr>
        <w:t>”</w:t>
      </w:r>
      <w:r w:rsidR="00F837C4" w:rsidRPr="00547702">
        <w:rPr>
          <w:sz w:val="28"/>
        </w:rPr>
        <w:t xml:space="preserve">  </w:t>
      </w:r>
      <w:r w:rsidR="00547702" w:rsidRPr="00547702">
        <w:rPr>
          <w:sz w:val="28"/>
        </w:rPr>
        <w:t xml:space="preserve">This may include a youth simply walking to the edge of the property or walking out of the </w:t>
      </w:r>
      <w:r w:rsidR="00B47DB1">
        <w:rPr>
          <w:sz w:val="28"/>
        </w:rPr>
        <w:t>building</w:t>
      </w:r>
      <w:r w:rsidR="00B47DB1" w:rsidRPr="00547702">
        <w:rPr>
          <w:sz w:val="28"/>
        </w:rPr>
        <w:t xml:space="preserve"> </w:t>
      </w:r>
      <w:r w:rsidR="00547702" w:rsidRPr="00547702">
        <w:rPr>
          <w:sz w:val="28"/>
        </w:rPr>
        <w:t>without staff permission.</w:t>
      </w:r>
      <w:r w:rsidR="00BB0C57">
        <w:rPr>
          <w:rStyle w:val="FootnoteReference"/>
          <w:sz w:val="28"/>
        </w:rPr>
        <w:footnoteReference w:id="18"/>
      </w:r>
      <w:proofErr w:type="gramStart"/>
      <w:r w:rsidR="00547702" w:rsidRPr="00547702">
        <w:rPr>
          <w:sz w:val="28"/>
        </w:rPr>
        <w:t xml:space="preserve"> </w:t>
      </w:r>
      <w:proofErr w:type="gramEnd"/>
      <w:r w:rsidR="00F83250">
        <w:rPr>
          <w:sz w:val="28"/>
        </w:rPr>
        <w:t>In fact, there</w:t>
      </w:r>
      <w:r w:rsidR="00F83250" w:rsidRPr="00F83250">
        <w:rPr>
          <w:sz w:val="28"/>
        </w:rPr>
        <w:t xml:space="preserve"> are several different types of “Runaway/Missing” reports.  In </w:t>
      </w:r>
      <w:r w:rsidR="00F83250">
        <w:rPr>
          <w:sz w:val="28"/>
        </w:rPr>
        <w:t>some</w:t>
      </w:r>
      <w:r w:rsidR="00F83250" w:rsidRPr="00F83250">
        <w:rPr>
          <w:sz w:val="28"/>
        </w:rPr>
        <w:t xml:space="preserve">, the youth is off the property but </w:t>
      </w:r>
      <w:proofErr w:type="gramStart"/>
      <w:r w:rsidR="00F83250" w:rsidRPr="00F83250">
        <w:rPr>
          <w:sz w:val="28"/>
        </w:rPr>
        <w:t>staff have</w:t>
      </w:r>
      <w:proofErr w:type="gramEnd"/>
      <w:r w:rsidR="00F83250" w:rsidRPr="00F83250">
        <w:rPr>
          <w:sz w:val="28"/>
        </w:rPr>
        <w:t xml:space="preserve"> eyes on the youth.  In others, the residential program has lost track of the youth entirely</w:t>
      </w:r>
      <w:r w:rsidR="00F837C4" w:rsidRPr="00F83250">
        <w:rPr>
          <w:sz w:val="28"/>
        </w:rPr>
        <w:t xml:space="preserve">.  </w:t>
      </w:r>
      <w:r w:rsidR="00F15E61">
        <w:rPr>
          <w:sz w:val="28"/>
        </w:rPr>
        <w:t>And in some cases,</w:t>
      </w:r>
      <w:r w:rsidR="00F15E61" w:rsidDel="00F15E61">
        <w:rPr>
          <w:sz w:val="28"/>
        </w:rPr>
        <w:t xml:space="preserve"> </w:t>
      </w:r>
      <w:r w:rsidR="00F83250" w:rsidRPr="00F83250">
        <w:rPr>
          <w:sz w:val="28"/>
        </w:rPr>
        <w:t xml:space="preserve">law enforcement </w:t>
      </w:r>
      <w:r w:rsidR="006E53F5">
        <w:rPr>
          <w:sz w:val="28"/>
        </w:rPr>
        <w:t>does not arrive</w:t>
      </w:r>
      <w:r w:rsidR="00F83250" w:rsidRPr="00F83250">
        <w:rPr>
          <w:sz w:val="28"/>
        </w:rPr>
        <w:t xml:space="preserve"> until </w:t>
      </w:r>
      <w:r w:rsidR="00F83250">
        <w:rPr>
          <w:sz w:val="28"/>
        </w:rPr>
        <w:t xml:space="preserve">after </w:t>
      </w:r>
      <w:r w:rsidR="00F83250" w:rsidRPr="00F83250">
        <w:rPr>
          <w:sz w:val="28"/>
        </w:rPr>
        <w:t xml:space="preserve">the youth has returned to the program.  </w:t>
      </w:r>
      <w:r w:rsidR="00547702" w:rsidRPr="00547702">
        <w:rPr>
          <w:sz w:val="28"/>
        </w:rPr>
        <w:t xml:space="preserve">For example, </w:t>
      </w:r>
      <w:r w:rsidR="00BB4F57">
        <w:rPr>
          <w:sz w:val="28"/>
        </w:rPr>
        <w:t>law enforcement was called when a youth who had eloped from the program returned:</w:t>
      </w:r>
    </w:p>
    <w:p w:rsidR="00BB4F57" w:rsidRDefault="00BB4F57" w:rsidP="00547702">
      <w:pPr>
        <w:pStyle w:val="NoSpacing"/>
        <w:rPr>
          <w:sz w:val="28"/>
        </w:rPr>
      </w:pPr>
    </w:p>
    <w:p w:rsidR="00C91B63" w:rsidRPr="001F05E1" w:rsidRDefault="00547702" w:rsidP="001F05E1">
      <w:pPr>
        <w:pStyle w:val="NoSpacing"/>
        <w:spacing w:before="240" w:after="240"/>
        <w:ind w:left="720" w:right="720"/>
        <w:rPr>
          <w:i/>
          <w:sz w:val="28"/>
        </w:rPr>
      </w:pPr>
      <w:r w:rsidRPr="00FC75E0">
        <w:rPr>
          <w:i/>
          <w:sz w:val="28"/>
        </w:rPr>
        <w:lastRenderedPageBreak/>
        <w:t>“[Youth] was not in crisis nor did she demonstrate any hostile acts</w:t>
      </w:r>
      <w:r w:rsidR="00F837C4" w:rsidRPr="00FC75E0">
        <w:rPr>
          <w:i/>
          <w:sz w:val="28"/>
        </w:rPr>
        <w:t xml:space="preserve">.  </w:t>
      </w:r>
      <w:r w:rsidRPr="00FC75E0">
        <w:rPr>
          <w:i/>
          <w:sz w:val="28"/>
        </w:rPr>
        <w:t>[Youth] claimed she want to get something to eat upon returning the staff would not allow her back inside</w:t>
      </w:r>
      <w:r w:rsidR="00F837C4" w:rsidRPr="00FC75E0">
        <w:rPr>
          <w:i/>
          <w:sz w:val="28"/>
        </w:rPr>
        <w:t xml:space="preserve">.  </w:t>
      </w:r>
      <w:r w:rsidRPr="00FC75E0">
        <w:rPr>
          <w:i/>
          <w:sz w:val="28"/>
        </w:rPr>
        <w:t>Staff wanted her transported to [hospital]...Staff stated because she left without permission.”</w:t>
      </w:r>
      <w:r w:rsidR="00043D9F" w:rsidRPr="00FC75E0">
        <w:rPr>
          <w:i/>
          <w:sz w:val="28"/>
        </w:rPr>
        <w:t xml:space="preserve"> </w:t>
      </w:r>
    </w:p>
    <w:p w:rsidR="000438FA" w:rsidRDefault="00FE6505" w:rsidP="000C3590">
      <w:pPr>
        <w:pStyle w:val="NoSpacing"/>
        <w:rPr>
          <w:sz w:val="28"/>
        </w:rPr>
      </w:pPr>
      <w:r>
        <w:rPr>
          <w:sz w:val="28"/>
        </w:rPr>
        <w:t xml:space="preserve">Highlighting the fact that police are often asked to intervene when a </w:t>
      </w:r>
      <w:r w:rsidR="00C058DA">
        <w:rPr>
          <w:sz w:val="28"/>
        </w:rPr>
        <w:t>behavioral</w:t>
      </w:r>
      <w:r>
        <w:rPr>
          <w:sz w:val="28"/>
        </w:rPr>
        <w:t xml:space="preserve"> </w:t>
      </w:r>
      <w:r w:rsidR="002A359B">
        <w:rPr>
          <w:sz w:val="28"/>
        </w:rPr>
        <w:t>health</w:t>
      </w:r>
      <w:r>
        <w:rPr>
          <w:sz w:val="28"/>
        </w:rPr>
        <w:t xml:space="preserve"> response would be more appropriate, the third most common reason for a </w:t>
      </w:r>
      <w:r w:rsidR="00DD1016">
        <w:rPr>
          <w:sz w:val="28"/>
        </w:rPr>
        <w:t>law enforcement</w:t>
      </w:r>
      <w:r>
        <w:rPr>
          <w:sz w:val="28"/>
        </w:rPr>
        <w:t xml:space="preserve"> call was</w:t>
      </w:r>
      <w:r w:rsidR="00CC52EE" w:rsidRPr="00CC52EE">
        <w:rPr>
          <w:sz w:val="28"/>
        </w:rPr>
        <w:t xml:space="preserve"> </w:t>
      </w:r>
      <w:r w:rsidR="00BB4F57">
        <w:rPr>
          <w:sz w:val="28"/>
        </w:rPr>
        <w:t>“</w:t>
      </w:r>
      <w:r w:rsidR="00CC52EE" w:rsidRPr="00CC52EE">
        <w:rPr>
          <w:sz w:val="28"/>
        </w:rPr>
        <w:t>Mental Health</w:t>
      </w:r>
      <w:r w:rsidR="00F62FC9">
        <w:rPr>
          <w:sz w:val="28"/>
        </w:rPr>
        <w:t>/Medical</w:t>
      </w:r>
      <w:r w:rsidR="00CC250C">
        <w:rPr>
          <w:sz w:val="28"/>
        </w:rPr>
        <w:t>.</w:t>
      </w:r>
      <w:r w:rsidR="00F837C4">
        <w:rPr>
          <w:sz w:val="28"/>
        </w:rPr>
        <w:t xml:space="preserve">”  </w:t>
      </w:r>
      <w:r w:rsidR="00CC52EE" w:rsidRPr="00CC52EE">
        <w:rPr>
          <w:sz w:val="28"/>
        </w:rPr>
        <w:t>This category</w:t>
      </w:r>
      <w:r w:rsidR="00CC52EE">
        <w:rPr>
          <w:sz w:val="28"/>
        </w:rPr>
        <w:t xml:space="preserve"> also</w:t>
      </w:r>
      <w:r w:rsidR="00C058DA">
        <w:rPr>
          <w:sz w:val="28"/>
        </w:rPr>
        <w:t xml:space="preserve"> encompasses a wide </w:t>
      </w:r>
      <w:r w:rsidR="00CC52EE" w:rsidRPr="00CC52EE">
        <w:rPr>
          <w:sz w:val="28"/>
        </w:rPr>
        <w:t xml:space="preserve">range of </w:t>
      </w:r>
      <w:r w:rsidR="00CD3101">
        <w:rPr>
          <w:sz w:val="28"/>
        </w:rPr>
        <w:t>calls</w:t>
      </w:r>
      <w:r w:rsidR="00CC52EE" w:rsidRPr="00CC52EE">
        <w:rPr>
          <w:sz w:val="28"/>
        </w:rPr>
        <w:t>, such as hospital transport, attempted suicide, welfare check, mental problem, safety check, emotional problem, and anything medically related.</w:t>
      </w:r>
      <w:r w:rsidR="00CC52EE">
        <w:rPr>
          <w:sz w:val="28"/>
        </w:rPr>
        <w:t xml:space="preserve">  </w:t>
      </w:r>
      <w:r w:rsidR="00BB4F57">
        <w:rPr>
          <w:sz w:val="28"/>
        </w:rPr>
        <w:t>Upon review, m</w:t>
      </w:r>
      <w:r w:rsidR="00CC52EE" w:rsidRPr="00CC52EE">
        <w:rPr>
          <w:sz w:val="28"/>
        </w:rPr>
        <w:t>any of the other categories contain</w:t>
      </w:r>
      <w:r w:rsidR="00BB4F57">
        <w:rPr>
          <w:sz w:val="28"/>
        </w:rPr>
        <w:t>ed</w:t>
      </w:r>
      <w:r w:rsidR="00CC52EE" w:rsidRPr="00CC52EE">
        <w:rPr>
          <w:sz w:val="28"/>
        </w:rPr>
        <w:t xml:space="preserve"> </w:t>
      </w:r>
      <w:r w:rsidR="00C53EDF">
        <w:rPr>
          <w:sz w:val="28"/>
        </w:rPr>
        <w:t>calls</w:t>
      </w:r>
      <w:r w:rsidR="009C302B">
        <w:rPr>
          <w:sz w:val="28"/>
        </w:rPr>
        <w:t xml:space="preserve"> </w:t>
      </w:r>
      <w:r w:rsidR="00CC52EE" w:rsidRPr="00CC52EE">
        <w:rPr>
          <w:sz w:val="28"/>
        </w:rPr>
        <w:t>that would bette</w:t>
      </w:r>
      <w:r w:rsidR="00EA369D">
        <w:rPr>
          <w:sz w:val="28"/>
        </w:rPr>
        <w:t xml:space="preserve">r be reported here.  </w:t>
      </w:r>
      <w:r w:rsidR="008473D2">
        <w:rPr>
          <w:sz w:val="28"/>
        </w:rPr>
        <w:t>L</w:t>
      </w:r>
      <w:r w:rsidR="009C302B">
        <w:rPr>
          <w:sz w:val="28"/>
        </w:rPr>
        <w:t>aw enforcement is fre</w:t>
      </w:r>
      <w:r w:rsidR="00482281">
        <w:rPr>
          <w:sz w:val="28"/>
        </w:rPr>
        <w:t xml:space="preserve">quently called to respond to a behavioral health </w:t>
      </w:r>
      <w:r w:rsidR="009C302B">
        <w:rPr>
          <w:sz w:val="28"/>
        </w:rPr>
        <w:t>issue in a therapeutic residential program</w:t>
      </w:r>
      <w:r w:rsidR="008473D2">
        <w:rPr>
          <w:sz w:val="28"/>
        </w:rPr>
        <w:t>, when it would often be more appropriate to utilize crisis services</w:t>
      </w:r>
      <w:r w:rsidR="00D23CD4">
        <w:rPr>
          <w:sz w:val="28"/>
        </w:rPr>
        <w:t xml:space="preserve">, </w:t>
      </w:r>
      <w:r w:rsidR="00B365AE">
        <w:rPr>
          <w:sz w:val="28"/>
        </w:rPr>
        <w:t>if the situation cannot be safely</w:t>
      </w:r>
      <w:r w:rsidR="007F6090">
        <w:rPr>
          <w:sz w:val="28"/>
        </w:rPr>
        <w:t xml:space="preserve"> handled by the residential programs being funded to provide behavioral health services</w:t>
      </w:r>
      <w:r w:rsidR="005712B0">
        <w:rPr>
          <w:sz w:val="28"/>
        </w:rPr>
        <w:t>.</w:t>
      </w:r>
    </w:p>
    <w:p w:rsidR="009906DA" w:rsidRDefault="009906DA" w:rsidP="009906DA">
      <w:pPr>
        <w:pStyle w:val="NoSpacing"/>
        <w:rPr>
          <w:i/>
          <w:sz w:val="28"/>
        </w:rPr>
      </w:pPr>
    </w:p>
    <w:p w:rsidR="009906DA" w:rsidRDefault="006D454B" w:rsidP="009906DA">
      <w:pPr>
        <w:pStyle w:val="NoSpacing"/>
        <w:rPr>
          <w:sz w:val="28"/>
        </w:rPr>
      </w:pPr>
      <w:r>
        <w:rPr>
          <w:sz w:val="28"/>
        </w:rPr>
        <w:t xml:space="preserve">In </w:t>
      </w:r>
      <w:r w:rsidR="00D23CD4">
        <w:rPr>
          <w:sz w:val="28"/>
        </w:rPr>
        <w:t xml:space="preserve">one </w:t>
      </w:r>
      <w:r w:rsidR="009906DA">
        <w:rPr>
          <w:sz w:val="28"/>
        </w:rPr>
        <w:t>example</w:t>
      </w:r>
      <w:r>
        <w:rPr>
          <w:sz w:val="28"/>
        </w:rPr>
        <w:t>,</w:t>
      </w:r>
      <w:r w:rsidR="009906DA">
        <w:rPr>
          <w:sz w:val="28"/>
        </w:rPr>
        <w:t xml:space="preserve"> staff call</w:t>
      </w:r>
      <w:r>
        <w:rPr>
          <w:sz w:val="28"/>
        </w:rPr>
        <w:t>ed</w:t>
      </w:r>
      <w:r w:rsidR="009906DA">
        <w:rPr>
          <w:sz w:val="28"/>
        </w:rPr>
        <w:t xml:space="preserve"> law enforcement to intervene due to the residential program not providing enough staff.</w:t>
      </w:r>
    </w:p>
    <w:p w:rsidR="009906DA" w:rsidRPr="00FC75E0" w:rsidRDefault="001F05E1" w:rsidP="001F05E1">
      <w:pPr>
        <w:pStyle w:val="NoSpacing"/>
        <w:spacing w:before="240" w:after="240"/>
        <w:ind w:left="720" w:right="720"/>
        <w:rPr>
          <w:i/>
          <w:sz w:val="28"/>
        </w:rPr>
      </w:pPr>
      <w:r>
        <w:rPr>
          <w:i/>
          <w:sz w:val="28"/>
        </w:rPr>
        <w:t>“</w:t>
      </w:r>
      <w:r w:rsidR="009906DA" w:rsidRPr="00FC75E0">
        <w:rPr>
          <w:i/>
          <w:sz w:val="28"/>
        </w:rPr>
        <w:t>2-3 male juveniles being violent on the crisis side of the facility; caller did not have much information, not sure if anyone has been physically assaulted; only have 2 staff on that side of the building and they are not able to manage them.”</w:t>
      </w:r>
    </w:p>
    <w:p w:rsidR="00B9216E" w:rsidRDefault="00B9216E" w:rsidP="00B9216E">
      <w:pPr>
        <w:pStyle w:val="NoSpacing"/>
        <w:rPr>
          <w:sz w:val="28"/>
        </w:rPr>
      </w:pPr>
      <w:r>
        <w:rPr>
          <w:sz w:val="28"/>
        </w:rPr>
        <w:t xml:space="preserve">This example </w:t>
      </w:r>
      <w:r w:rsidR="005A7150">
        <w:rPr>
          <w:sz w:val="28"/>
        </w:rPr>
        <w:t>relates directly</w:t>
      </w:r>
      <w:r>
        <w:rPr>
          <w:sz w:val="28"/>
        </w:rPr>
        <w:t xml:space="preserve"> to the staffing problem that exists throughout behavioral health services</w:t>
      </w:r>
      <w:r w:rsidR="008865CD">
        <w:rPr>
          <w:sz w:val="28"/>
        </w:rPr>
        <w:t xml:space="preserve"> for youth</w:t>
      </w:r>
      <w:r>
        <w:rPr>
          <w:sz w:val="28"/>
        </w:rPr>
        <w:t xml:space="preserve"> in Maine, at every level</w:t>
      </w:r>
      <w:r w:rsidR="00F837C4">
        <w:rPr>
          <w:sz w:val="28"/>
        </w:rPr>
        <w:t xml:space="preserve">.  </w:t>
      </w:r>
      <w:r w:rsidR="008865CD">
        <w:rPr>
          <w:sz w:val="28"/>
        </w:rPr>
        <w:t xml:space="preserve">Much has been said </w:t>
      </w:r>
      <w:r w:rsidR="00DD7ACD">
        <w:rPr>
          <w:sz w:val="28"/>
        </w:rPr>
        <w:t>about this “workforce crisis.</w:t>
      </w:r>
      <w:r w:rsidR="00F837C4">
        <w:rPr>
          <w:sz w:val="28"/>
        </w:rPr>
        <w:t xml:space="preserve">”  </w:t>
      </w:r>
      <w:r w:rsidR="00DD7ACD">
        <w:rPr>
          <w:sz w:val="28"/>
        </w:rPr>
        <w:t>A</w:t>
      </w:r>
      <w:r w:rsidR="008865CD">
        <w:rPr>
          <w:sz w:val="28"/>
        </w:rPr>
        <w:t>lthough that conversation is beyond the scope of this report, DRM agrees that it is a significant problem that must be addressed</w:t>
      </w:r>
      <w:r w:rsidR="001C1678">
        <w:rPr>
          <w:sz w:val="28"/>
        </w:rPr>
        <w:t xml:space="preserve">, but not by utilizing law enforcement </w:t>
      </w:r>
      <w:r w:rsidR="00342671">
        <w:rPr>
          <w:sz w:val="28"/>
        </w:rPr>
        <w:t>to compensate for</w:t>
      </w:r>
      <w:r w:rsidR="001C1678">
        <w:rPr>
          <w:sz w:val="28"/>
        </w:rPr>
        <w:t xml:space="preserve"> staffing shortages</w:t>
      </w:r>
      <w:r w:rsidR="008865CD">
        <w:rPr>
          <w:sz w:val="28"/>
        </w:rPr>
        <w:t>.</w:t>
      </w:r>
    </w:p>
    <w:p w:rsidR="00290978" w:rsidRDefault="00290978" w:rsidP="00B9216E">
      <w:pPr>
        <w:pStyle w:val="NoSpacing"/>
        <w:rPr>
          <w:sz w:val="28"/>
        </w:rPr>
      </w:pPr>
    </w:p>
    <w:p w:rsidR="00795491" w:rsidRDefault="00FA56FD" w:rsidP="00290978">
      <w:pPr>
        <w:pStyle w:val="NoSpacing"/>
        <w:rPr>
          <w:sz w:val="28"/>
        </w:rPr>
      </w:pPr>
      <w:r>
        <w:rPr>
          <w:sz w:val="28"/>
        </w:rPr>
        <w:t>These examples are representative</w:t>
      </w:r>
      <w:r w:rsidR="00290978">
        <w:rPr>
          <w:sz w:val="28"/>
        </w:rPr>
        <w:t>, and they illustrate the problem of law enforcement being asked to preserve order in a therapeutic setting</w:t>
      </w:r>
      <w:r w:rsidR="00F837C4">
        <w:rPr>
          <w:sz w:val="28"/>
        </w:rPr>
        <w:t xml:space="preserve">.  </w:t>
      </w:r>
      <w:r w:rsidR="00290978">
        <w:rPr>
          <w:sz w:val="28"/>
        </w:rPr>
        <w:t xml:space="preserve">The residential programs are staffed with individuals </w:t>
      </w:r>
      <w:r w:rsidR="00795491">
        <w:rPr>
          <w:sz w:val="28"/>
        </w:rPr>
        <w:t>who</w:t>
      </w:r>
      <w:r w:rsidR="00290978">
        <w:rPr>
          <w:sz w:val="28"/>
        </w:rPr>
        <w:t xml:space="preserve"> are</w:t>
      </w:r>
      <w:r w:rsidR="00D23CD4">
        <w:rPr>
          <w:sz w:val="28"/>
        </w:rPr>
        <w:t xml:space="preserve"> required to be</w:t>
      </w:r>
      <w:r w:rsidR="00290978">
        <w:rPr>
          <w:sz w:val="28"/>
        </w:rPr>
        <w:t xml:space="preserve"> trained and qualified to treat youth with diagnoses including but not limited to </w:t>
      </w:r>
      <w:r w:rsidR="00C22368" w:rsidRPr="00C22368">
        <w:rPr>
          <w:sz w:val="28"/>
        </w:rPr>
        <w:t>autism</w:t>
      </w:r>
      <w:r w:rsidR="00290978" w:rsidRPr="00C22368">
        <w:rPr>
          <w:sz w:val="28"/>
        </w:rPr>
        <w:t xml:space="preserve">, </w:t>
      </w:r>
      <w:r w:rsidR="00C22368" w:rsidRPr="00C22368">
        <w:rPr>
          <w:sz w:val="28"/>
        </w:rPr>
        <w:t>intellectual disability</w:t>
      </w:r>
      <w:r w:rsidR="00290978" w:rsidRPr="00C22368">
        <w:rPr>
          <w:sz w:val="28"/>
        </w:rPr>
        <w:t xml:space="preserve">, </w:t>
      </w:r>
      <w:r w:rsidR="00C22368" w:rsidRPr="00C22368">
        <w:rPr>
          <w:sz w:val="28"/>
        </w:rPr>
        <w:t>mood disorders</w:t>
      </w:r>
      <w:r w:rsidR="00290978" w:rsidRPr="00C22368">
        <w:rPr>
          <w:sz w:val="28"/>
        </w:rPr>
        <w:t xml:space="preserve">, </w:t>
      </w:r>
      <w:r w:rsidR="00C22368" w:rsidRPr="00C22368">
        <w:rPr>
          <w:sz w:val="28"/>
        </w:rPr>
        <w:t>post-traumatic stress disorder</w:t>
      </w:r>
      <w:r w:rsidR="00290978" w:rsidRPr="00C22368">
        <w:rPr>
          <w:sz w:val="28"/>
        </w:rPr>
        <w:t xml:space="preserve">, and </w:t>
      </w:r>
      <w:r w:rsidR="00C22368" w:rsidRPr="00C22368">
        <w:rPr>
          <w:sz w:val="28"/>
        </w:rPr>
        <w:t>depression</w:t>
      </w:r>
      <w:r w:rsidR="00F837C4" w:rsidRPr="00C22368">
        <w:rPr>
          <w:sz w:val="28"/>
        </w:rPr>
        <w:t>.</w:t>
      </w:r>
      <w:r w:rsidR="00F837C4">
        <w:rPr>
          <w:sz w:val="28"/>
        </w:rPr>
        <w:t xml:space="preserve">  </w:t>
      </w:r>
      <w:r w:rsidR="00290978">
        <w:rPr>
          <w:sz w:val="28"/>
        </w:rPr>
        <w:t xml:space="preserve">When symptoms of these disabilities arise, the system is designed so that in all but the most extreme cases, the </w:t>
      </w:r>
      <w:r w:rsidR="00B365AE">
        <w:rPr>
          <w:sz w:val="28"/>
        </w:rPr>
        <w:t>youth</w:t>
      </w:r>
      <w:r w:rsidR="00290978">
        <w:rPr>
          <w:sz w:val="28"/>
        </w:rPr>
        <w:t xml:space="preserve"> is in the setting best suited to </w:t>
      </w:r>
      <w:r w:rsidR="00290978">
        <w:rPr>
          <w:sz w:val="28"/>
        </w:rPr>
        <w:lastRenderedPageBreak/>
        <w:t>provide an appropriate response</w:t>
      </w:r>
      <w:r w:rsidR="00F837C4">
        <w:rPr>
          <w:sz w:val="28"/>
        </w:rPr>
        <w:t xml:space="preserve">.  </w:t>
      </w:r>
      <w:r w:rsidR="00290978">
        <w:rPr>
          <w:sz w:val="28"/>
        </w:rPr>
        <w:t>Instead, all too often, these programs are turning to law enforcement personnel</w:t>
      </w:r>
      <w:r w:rsidR="00795491">
        <w:rPr>
          <w:sz w:val="28"/>
        </w:rPr>
        <w:t>.</w:t>
      </w:r>
    </w:p>
    <w:p w:rsidR="00290978" w:rsidRDefault="00290978" w:rsidP="00290978">
      <w:pPr>
        <w:pStyle w:val="NoSpacing"/>
        <w:rPr>
          <w:sz w:val="28"/>
        </w:rPr>
      </w:pPr>
      <w:r>
        <w:rPr>
          <w:sz w:val="28"/>
        </w:rPr>
        <w:t xml:space="preserve"> </w:t>
      </w:r>
    </w:p>
    <w:p w:rsidR="00290978" w:rsidRPr="00547702" w:rsidRDefault="00290978" w:rsidP="00290978">
      <w:pPr>
        <w:pStyle w:val="NoSpacing"/>
        <w:rPr>
          <w:sz w:val="28"/>
        </w:rPr>
      </w:pPr>
      <w:r>
        <w:rPr>
          <w:sz w:val="28"/>
        </w:rPr>
        <w:t>When law enforcement is called to a residential program, the situation becomes immediately escalated</w:t>
      </w:r>
      <w:r w:rsidR="00F837C4">
        <w:rPr>
          <w:sz w:val="28"/>
        </w:rPr>
        <w:t xml:space="preserve">.  </w:t>
      </w:r>
      <w:r>
        <w:rPr>
          <w:sz w:val="28"/>
        </w:rPr>
        <w:t>The arrival of law enforcement is often very disruptive to the program; the youth may incur criminal charges; and law enforcement resources become further stretched</w:t>
      </w:r>
      <w:r w:rsidR="00F837C4">
        <w:rPr>
          <w:sz w:val="28"/>
        </w:rPr>
        <w:t xml:space="preserve">.  </w:t>
      </w:r>
      <w:r>
        <w:rPr>
          <w:sz w:val="28"/>
        </w:rPr>
        <w:t>This host of problematic potential consequences could and should be avoided by treatment providers using de-escalation techniques</w:t>
      </w:r>
      <w:r w:rsidR="00F837C4">
        <w:rPr>
          <w:sz w:val="28"/>
        </w:rPr>
        <w:t xml:space="preserve">.  </w:t>
      </w:r>
      <w:r w:rsidRPr="00BD5298">
        <w:rPr>
          <w:sz w:val="28"/>
        </w:rPr>
        <w:t>The records DRM reviewed contained multiple examples of residential program providers attempting to use law enforcement to respond to a behavioral health crisis.</w:t>
      </w:r>
    </w:p>
    <w:p w:rsidR="00290978" w:rsidRPr="00B9216E" w:rsidRDefault="00290978" w:rsidP="00B9216E">
      <w:pPr>
        <w:pStyle w:val="NoSpacing"/>
        <w:rPr>
          <w:sz w:val="28"/>
        </w:rPr>
      </w:pPr>
    </w:p>
    <w:p w:rsidR="009906DA" w:rsidRDefault="009906DA" w:rsidP="00895AC1"/>
    <w:p w:rsidR="00006A4C" w:rsidRDefault="00006A4C">
      <w:pPr>
        <w:rPr>
          <w:rFonts w:asciiTheme="majorHAnsi" w:eastAsiaTheme="majorEastAsia" w:hAnsiTheme="majorHAnsi" w:cstheme="majorBidi"/>
          <w:color w:val="17365D" w:themeColor="text2" w:themeShade="BF"/>
          <w:spacing w:val="5"/>
          <w:kern w:val="28"/>
          <w:sz w:val="52"/>
          <w:szCs w:val="52"/>
        </w:rPr>
      </w:pPr>
      <w:r>
        <w:br w:type="page"/>
      </w:r>
    </w:p>
    <w:p w:rsidR="000438FA" w:rsidRDefault="000438FA" w:rsidP="0030055D">
      <w:pPr>
        <w:pStyle w:val="Heading1"/>
      </w:pPr>
      <w:bookmarkStart w:id="4" w:name="_Toc489971861"/>
      <w:r>
        <w:lastRenderedPageBreak/>
        <w:t>Calls to Law Enforcement per Residential Program</w:t>
      </w:r>
      <w:bookmarkEnd w:id="4"/>
    </w:p>
    <w:p w:rsidR="002701AA" w:rsidRDefault="00E67319" w:rsidP="000C3590">
      <w:pPr>
        <w:pStyle w:val="NoSpacing"/>
        <w:rPr>
          <w:sz w:val="28"/>
        </w:rPr>
      </w:pPr>
      <w:r>
        <w:rPr>
          <w:sz w:val="28"/>
        </w:rPr>
        <w:t xml:space="preserve">After DRM removed records unrelated to </w:t>
      </w:r>
      <w:r w:rsidR="00C22368">
        <w:rPr>
          <w:sz w:val="28"/>
        </w:rPr>
        <w:t>youth</w:t>
      </w:r>
      <w:r>
        <w:rPr>
          <w:sz w:val="28"/>
        </w:rPr>
        <w:t xml:space="preserve"> from the data set, there were 815 calls to law enforcement from residential programs documented in </w:t>
      </w:r>
      <w:r w:rsidR="00C22368">
        <w:rPr>
          <w:sz w:val="28"/>
        </w:rPr>
        <w:t xml:space="preserve">law enforcement </w:t>
      </w:r>
      <w:r>
        <w:rPr>
          <w:sz w:val="28"/>
        </w:rPr>
        <w:t>records over the 13 months for which data was collected</w:t>
      </w:r>
      <w:r w:rsidR="00F837C4">
        <w:rPr>
          <w:sz w:val="28"/>
        </w:rPr>
        <w:t xml:space="preserve">.  </w:t>
      </w:r>
      <w:r w:rsidR="000438FA" w:rsidRPr="000438FA">
        <w:rPr>
          <w:sz w:val="28"/>
        </w:rPr>
        <w:t>As in</w:t>
      </w:r>
      <w:r w:rsidR="003364F1">
        <w:rPr>
          <w:sz w:val="28"/>
        </w:rPr>
        <w:t>dicated in Figure 2</w:t>
      </w:r>
      <w:r w:rsidR="007E3C16">
        <w:rPr>
          <w:sz w:val="28"/>
        </w:rPr>
        <w:t xml:space="preserve">, there </w:t>
      </w:r>
      <w:r>
        <w:rPr>
          <w:sz w:val="28"/>
        </w:rPr>
        <w:t>wa</w:t>
      </w:r>
      <w:r w:rsidR="007E3C16">
        <w:rPr>
          <w:sz w:val="28"/>
        </w:rPr>
        <w:t xml:space="preserve">s </w:t>
      </w:r>
      <w:r w:rsidR="009F2BCA">
        <w:rPr>
          <w:sz w:val="28"/>
        </w:rPr>
        <w:t xml:space="preserve">significant variability among </w:t>
      </w:r>
      <w:r w:rsidR="000438FA">
        <w:rPr>
          <w:sz w:val="28"/>
        </w:rPr>
        <w:t xml:space="preserve">residential </w:t>
      </w:r>
      <w:r w:rsidR="000438FA" w:rsidRPr="000438FA">
        <w:rPr>
          <w:sz w:val="28"/>
        </w:rPr>
        <w:t xml:space="preserve">providers </w:t>
      </w:r>
      <w:r w:rsidR="009F2BCA">
        <w:rPr>
          <w:sz w:val="28"/>
        </w:rPr>
        <w:t>and the rate</w:t>
      </w:r>
      <w:r w:rsidR="00DF580E">
        <w:rPr>
          <w:sz w:val="28"/>
        </w:rPr>
        <w:t>s</w:t>
      </w:r>
      <w:r w:rsidR="009F2BCA">
        <w:rPr>
          <w:sz w:val="28"/>
        </w:rPr>
        <w:t xml:space="preserve"> at which they call</w:t>
      </w:r>
      <w:r>
        <w:rPr>
          <w:sz w:val="28"/>
        </w:rPr>
        <w:t>ed</w:t>
      </w:r>
      <w:r w:rsidR="000438FA" w:rsidRPr="000438FA">
        <w:rPr>
          <w:sz w:val="28"/>
        </w:rPr>
        <w:t xml:space="preserve"> </w:t>
      </w:r>
      <w:r w:rsidR="000438FA">
        <w:rPr>
          <w:sz w:val="28"/>
        </w:rPr>
        <w:t>law enforcement.</w:t>
      </w:r>
      <w:r>
        <w:rPr>
          <w:sz w:val="28"/>
        </w:rPr>
        <w:t xml:space="preserve">  In Figure 2, all facilities run by a single provider have been grouped together to</w:t>
      </w:r>
      <w:r w:rsidR="00B365AE">
        <w:rPr>
          <w:sz w:val="28"/>
        </w:rPr>
        <w:t xml:space="preserve"> get a referral rate.  Again, DRM</w:t>
      </w:r>
      <w:r>
        <w:rPr>
          <w:sz w:val="28"/>
        </w:rPr>
        <w:t xml:space="preserve"> assumed maximum capacity when calculating these rates, even though the programs do not regularly operate at capacity.</w:t>
      </w:r>
    </w:p>
    <w:p w:rsidR="002701AA" w:rsidRDefault="002701AA" w:rsidP="000C3590">
      <w:pPr>
        <w:pStyle w:val="NoSpacing"/>
        <w:rPr>
          <w:sz w:val="28"/>
        </w:rPr>
      </w:pPr>
    </w:p>
    <w:p w:rsidR="00C929B0" w:rsidRPr="00C929B0" w:rsidRDefault="00C929B0" w:rsidP="000C3590">
      <w:pPr>
        <w:pStyle w:val="NoSpacing"/>
        <w:rPr>
          <w:b/>
          <w:sz w:val="28"/>
        </w:rPr>
      </w:pPr>
      <w:r w:rsidRPr="00C929B0">
        <w:rPr>
          <w:b/>
          <w:sz w:val="28"/>
        </w:rPr>
        <w:t>Figure 2</w:t>
      </w:r>
      <w:r w:rsidR="00482281">
        <w:rPr>
          <w:b/>
          <w:sz w:val="28"/>
        </w:rPr>
        <w:t xml:space="preserve"> (Timeframe: January 1, 2016-January 31, 2017)</w:t>
      </w:r>
    </w:p>
    <w:p w:rsidR="00C929B0" w:rsidRDefault="00125DF4" w:rsidP="000C3590">
      <w:pPr>
        <w:pStyle w:val="NoSpacing"/>
        <w:rPr>
          <w:sz w:val="28"/>
        </w:rPr>
      </w:pPr>
      <w:r>
        <w:rPr>
          <w:noProof/>
          <w:sz w:val="28"/>
        </w:rPr>
        <w:drawing>
          <wp:inline distT="0" distB="0" distL="0" distR="0" wp14:anchorId="0789E867" wp14:editId="50A56174">
            <wp:extent cx="5721350" cy="3397250"/>
            <wp:effectExtent l="0" t="0" r="0" b="0"/>
            <wp:docPr id="2" name="Picture 2" descr="Bar Graph:&#10;&#10;NFI - 2.7&#10;Sweetser - 5.6&#10;Spurwink - 1.0&#10;AMHC - 0.7&#10;Kidspeace - 0.1&#10;The Northern Lighthouse - 0.5&#10;Becket House - 1.1&#10;Opportunity Alliance - 6.3&#10;&#10;Average: 1.9" title="Calls to Law Enforcement per Residential Treatment Facility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982" t="552" r="645" b="921"/>
                    <a:stretch/>
                  </pic:blipFill>
                  <pic:spPr bwMode="auto">
                    <a:xfrm>
                      <a:off x="0" y="0"/>
                      <a:ext cx="5732794" cy="3404045"/>
                    </a:xfrm>
                    <a:prstGeom prst="rect">
                      <a:avLst/>
                    </a:prstGeom>
                    <a:noFill/>
                    <a:ln>
                      <a:noFill/>
                    </a:ln>
                    <a:extLst>
                      <a:ext uri="{53640926-AAD7-44D8-BBD7-CCE9431645EC}">
                        <a14:shadowObscured xmlns:a14="http://schemas.microsoft.com/office/drawing/2010/main"/>
                      </a:ext>
                    </a:extLst>
                  </pic:spPr>
                </pic:pic>
              </a:graphicData>
            </a:graphic>
          </wp:inline>
        </w:drawing>
      </w:r>
    </w:p>
    <w:p w:rsidR="00FB10FC" w:rsidRDefault="00FB10FC" w:rsidP="000C3590">
      <w:pPr>
        <w:pStyle w:val="NoSpacing"/>
        <w:rPr>
          <w:sz w:val="28"/>
        </w:rPr>
      </w:pPr>
    </w:p>
    <w:p w:rsidR="006F4763" w:rsidRDefault="00E67319" w:rsidP="000C3590">
      <w:pPr>
        <w:pStyle w:val="NoSpacing"/>
        <w:rPr>
          <w:sz w:val="28"/>
        </w:rPr>
      </w:pPr>
      <w:r>
        <w:rPr>
          <w:sz w:val="28"/>
        </w:rPr>
        <w:t>Figure 3 provides more detailed information for providers with more than one residential program.  The capacity for each program is listed alongside the law enforcement agencies with jurisdiction</w:t>
      </w:r>
      <w:r w:rsidR="00B365AE">
        <w:rPr>
          <w:sz w:val="28"/>
        </w:rPr>
        <w:t>,</w:t>
      </w:r>
      <w:r>
        <w:rPr>
          <w:sz w:val="28"/>
        </w:rPr>
        <w:t xml:space="preserve"> and the total number of calls to law enforcement during the 13 month period covered by this report.</w:t>
      </w:r>
    </w:p>
    <w:p w:rsidR="00125DF4" w:rsidRDefault="00125DF4" w:rsidP="000C3590">
      <w:pPr>
        <w:pStyle w:val="NoSpacing"/>
        <w:rPr>
          <w:sz w:val="28"/>
        </w:rPr>
      </w:pPr>
    </w:p>
    <w:p w:rsidR="007D6508" w:rsidRDefault="007D6508" w:rsidP="000C3590">
      <w:pPr>
        <w:pStyle w:val="NoSpacing"/>
        <w:rPr>
          <w:sz w:val="28"/>
        </w:rPr>
      </w:pPr>
    </w:p>
    <w:p w:rsidR="00125DF4" w:rsidRPr="00125DF4" w:rsidRDefault="00125DF4" w:rsidP="000C3590">
      <w:pPr>
        <w:pStyle w:val="NoSpacing"/>
        <w:rPr>
          <w:b/>
          <w:sz w:val="28"/>
        </w:rPr>
      </w:pPr>
      <w:r>
        <w:rPr>
          <w:b/>
          <w:sz w:val="28"/>
        </w:rPr>
        <w:lastRenderedPageBreak/>
        <w:t>Figure 3</w:t>
      </w:r>
      <w:r w:rsidR="00482281">
        <w:rPr>
          <w:b/>
          <w:sz w:val="28"/>
        </w:rPr>
        <w:t xml:space="preserve"> </w:t>
      </w:r>
      <w:r w:rsidR="00482281" w:rsidRPr="00482281">
        <w:rPr>
          <w:b/>
          <w:sz w:val="28"/>
        </w:rPr>
        <w:t>(Timeframe: January 1, 2016-January 31, 2017)</w:t>
      </w:r>
    </w:p>
    <w:tbl>
      <w:tblPr>
        <w:tblW w:w="5000" w:type="pct"/>
        <w:tblLook w:val="04A0" w:firstRow="1" w:lastRow="0" w:firstColumn="1" w:lastColumn="0" w:noHBand="0" w:noVBand="1"/>
      </w:tblPr>
      <w:tblGrid>
        <w:gridCol w:w="1609"/>
        <w:gridCol w:w="2099"/>
        <w:gridCol w:w="2520"/>
        <w:gridCol w:w="1440"/>
        <w:gridCol w:w="1908"/>
      </w:tblGrid>
      <w:tr w:rsidR="002701AA" w:rsidRPr="00466DF6" w:rsidTr="00663703">
        <w:trPr>
          <w:trHeight w:val="288"/>
        </w:trPr>
        <w:tc>
          <w:tcPr>
            <w:tcW w:w="840" w:type="pct"/>
            <w:tcBorders>
              <w:top w:val="single" w:sz="8" w:space="0" w:color="auto"/>
              <w:left w:val="single" w:sz="8" w:space="0" w:color="auto"/>
              <w:bottom w:val="single" w:sz="8" w:space="0" w:color="auto"/>
              <w:right w:val="single" w:sz="4" w:space="0" w:color="auto"/>
            </w:tcBorders>
            <w:shd w:val="clear" w:color="000000" w:fill="4F81BD"/>
            <w:vAlign w:val="bottom"/>
            <w:hideMark/>
          </w:tcPr>
          <w:p w:rsidR="002701AA" w:rsidRPr="00663703" w:rsidRDefault="002701AA" w:rsidP="00466DF6">
            <w:pPr>
              <w:spacing w:after="0" w:line="240" w:lineRule="auto"/>
              <w:jc w:val="center"/>
              <w:rPr>
                <w:rFonts w:ascii="Calibri" w:eastAsia="Times New Roman" w:hAnsi="Calibri" w:cs="Times New Roman"/>
                <w:b/>
                <w:bCs/>
                <w:color w:val="FFFFFF"/>
                <w:sz w:val="24"/>
                <w:szCs w:val="24"/>
              </w:rPr>
            </w:pPr>
            <w:r w:rsidRPr="00663703">
              <w:rPr>
                <w:rFonts w:ascii="Calibri" w:eastAsia="Times New Roman" w:hAnsi="Calibri" w:cs="Times New Roman"/>
                <w:b/>
                <w:bCs/>
                <w:color w:val="FFFFFF"/>
                <w:sz w:val="24"/>
                <w:szCs w:val="24"/>
              </w:rPr>
              <w:t>Agency</w:t>
            </w:r>
          </w:p>
        </w:tc>
        <w:tc>
          <w:tcPr>
            <w:tcW w:w="1096" w:type="pct"/>
            <w:tcBorders>
              <w:top w:val="single" w:sz="8" w:space="0" w:color="auto"/>
              <w:left w:val="nil"/>
              <w:bottom w:val="single" w:sz="8" w:space="0" w:color="auto"/>
              <w:right w:val="single" w:sz="4" w:space="0" w:color="auto"/>
            </w:tcBorders>
            <w:shd w:val="clear" w:color="000000" w:fill="4F81BD"/>
            <w:vAlign w:val="bottom"/>
            <w:hideMark/>
          </w:tcPr>
          <w:p w:rsidR="002701AA" w:rsidRPr="00663703" w:rsidRDefault="002701AA" w:rsidP="00466DF6">
            <w:pPr>
              <w:spacing w:after="0" w:line="240" w:lineRule="auto"/>
              <w:jc w:val="center"/>
              <w:rPr>
                <w:rFonts w:ascii="Calibri" w:eastAsia="Times New Roman" w:hAnsi="Calibri" w:cs="Times New Roman"/>
                <w:b/>
                <w:bCs/>
                <w:color w:val="FFFFFF"/>
                <w:sz w:val="24"/>
                <w:szCs w:val="24"/>
              </w:rPr>
            </w:pPr>
            <w:r w:rsidRPr="00663703">
              <w:rPr>
                <w:rFonts w:ascii="Calibri" w:eastAsia="Times New Roman" w:hAnsi="Calibri" w:cs="Times New Roman"/>
                <w:b/>
                <w:bCs/>
                <w:color w:val="FFFFFF"/>
                <w:sz w:val="24"/>
                <w:szCs w:val="24"/>
              </w:rPr>
              <w:t>Facility</w:t>
            </w:r>
          </w:p>
        </w:tc>
        <w:tc>
          <w:tcPr>
            <w:tcW w:w="1316" w:type="pct"/>
            <w:tcBorders>
              <w:top w:val="single" w:sz="8" w:space="0" w:color="auto"/>
              <w:left w:val="nil"/>
              <w:bottom w:val="single" w:sz="8" w:space="0" w:color="auto"/>
              <w:right w:val="single" w:sz="4" w:space="0" w:color="auto"/>
            </w:tcBorders>
            <w:shd w:val="clear" w:color="000000" w:fill="4F81BD"/>
            <w:vAlign w:val="bottom"/>
            <w:hideMark/>
          </w:tcPr>
          <w:p w:rsidR="002701AA" w:rsidRPr="00663703" w:rsidRDefault="002701AA" w:rsidP="00466DF6">
            <w:pPr>
              <w:spacing w:after="0" w:line="240" w:lineRule="auto"/>
              <w:jc w:val="center"/>
              <w:rPr>
                <w:rFonts w:ascii="Calibri" w:eastAsia="Times New Roman" w:hAnsi="Calibri" w:cs="Times New Roman"/>
                <w:b/>
                <w:bCs/>
                <w:color w:val="FFFFFF"/>
                <w:sz w:val="24"/>
                <w:szCs w:val="24"/>
              </w:rPr>
            </w:pPr>
            <w:r w:rsidRPr="00663703">
              <w:rPr>
                <w:rFonts w:ascii="Calibri" w:eastAsia="Times New Roman" w:hAnsi="Calibri" w:cs="Times New Roman"/>
                <w:b/>
                <w:bCs/>
                <w:color w:val="FFFFFF"/>
                <w:sz w:val="24"/>
                <w:szCs w:val="24"/>
              </w:rPr>
              <w:t>Responding Law Enforcement Agency</w:t>
            </w:r>
          </w:p>
        </w:tc>
        <w:tc>
          <w:tcPr>
            <w:tcW w:w="752" w:type="pct"/>
            <w:tcBorders>
              <w:top w:val="single" w:sz="8" w:space="0" w:color="auto"/>
              <w:left w:val="nil"/>
              <w:bottom w:val="single" w:sz="8" w:space="0" w:color="auto"/>
              <w:right w:val="single" w:sz="4" w:space="0" w:color="auto"/>
            </w:tcBorders>
            <w:shd w:val="clear" w:color="000000" w:fill="4F81BD"/>
            <w:vAlign w:val="bottom"/>
            <w:hideMark/>
          </w:tcPr>
          <w:p w:rsidR="00C57A03" w:rsidRDefault="002701AA" w:rsidP="00C57A03">
            <w:pPr>
              <w:spacing w:after="0" w:line="240" w:lineRule="auto"/>
              <w:jc w:val="center"/>
              <w:rPr>
                <w:rFonts w:ascii="Calibri" w:eastAsia="Times New Roman" w:hAnsi="Calibri" w:cs="Times New Roman"/>
                <w:b/>
                <w:bCs/>
                <w:color w:val="FFFFFF"/>
                <w:sz w:val="24"/>
                <w:szCs w:val="24"/>
              </w:rPr>
            </w:pPr>
            <w:r w:rsidRPr="00663703">
              <w:rPr>
                <w:rFonts w:ascii="Calibri" w:eastAsia="Times New Roman" w:hAnsi="Calibri" w:cs="Times New Roman"/>
                <w:b/>
                <w:bCs/>
                <w:color w:val="FFFFFF"/>
                <w:sz w:val="24"/>
                <w:szCs w:val="24"/>
              </w:rPr>
              <w:t>Maximum</w:t>
            </w:r>
          </w:p>
          <w:p w:rsidR="002701AA" w:rsidRPr="00663703" w:rsidRDefault="002701AA" w:rsidP="00C57A03">
            <w:pPr>
              <w:spacing w:after="0" w:line="240" w:lineRule="auto"/>
              <w:jc w:val="center"/>
              <w:rPr>
                <w:rFonts w:ascii="Calibri" w:eastAsia="Times New Roman" w:hAnsi="Calibri" w:cs="Times New Roman"/>
                <w:b/>
                <w:bCs/>
                <w:color w:val="FFFFFF"/>
                <w:sz w:val="24"/>
                <w:szCs w:val="24"/>
              </w:rPr>
            </w:pPr>
            <w:r w:rsidRPr="00663703">
              <w:rPr>
                <w:rFonts w:ascii="Calibri" w:eastAsia="Times New Roman" w:hAnsi="Calibri" w:cs="Times New Roman"/>
                <w:b/>
                <w:bCs/>
                <w:color w:val="FFFFFF"/>
                <w:sz w:val="24"/>
                <w:szCs w:val="24"/>
              </w:rPr>
              <w:t>Capacity</w:t>
            </w:r>
          </w:p>
        </w:tc>
        <w:tc>
          <w:tcPr>
            <w:tcW w:w="996" w:type="pct"/>
            <w:tcBorders>
              <w:top w:val="single" w:sz="8" w:space="0" w:color="auto"/>
              <w:left w:val="nil"/>
              <w:bottom w:val="single" w:sz="8" w:space="0" w:color="auto"/>
              <w:right w:val="single" w:sz="8" w:space="0" w:color="auto"/>
            </w:tcBorders>
            <w:shd w:val="clear" w:color="000000" w:fill="4F81BD"/>
            <w:vAlign w:val="bottom"/>
            <w:hideMark/>
          </w:tcPr>
          <w:p w:rsidR="002701AA" w:rsidRPr="00663703" w:rsidRDefault="002701AA" w:rsidP="00466DF6">
            <w:pPr>
              <w:spacing w:after="0" w:line="240" w:lineRule="auto"/>
              <w:jc w:val="center"/>
              <w:rPr>
                <w:rFonts w:ascii="Calibri" w:eastAsia="Times New Roman" w:hAnsi="Calibri" w:cs="Times New Roman"/>
                <w:b/>
                <w:bCs/>
                <w:color w:val="FFFFFF"/>
                <w:sz w:val="24"/>
                <w:szCs w:val="24"/>
              </w:rPr>
            </w:pPr>
            <w:r w:rsidRPr="00663703">
              <w:rPr>
                <w:rFonts w:ascii="Calibri" w:eastAsia="Times New Roman" w:hAnsi="Calibri" w:cs="Times New Roman"/>
                <w:b/>
                <w:bCs/>
                <w:color w:val="FFFFFF"/>
                <w:sz w:val="24"/>
                <w:szCs w:val="24"/>
              </w:rPr>
              <w:t>Juvenile-Related Calls to LE</w:t>
            </w:r>
          </w:p>
        </w:tc>
      </w:tr>
      <w:tr w:rsidR="002701AA" w:rsidRPr="00466DF6" w:rsidTr="00663703">
        <w:trPr>
          <w:trHeight w:val="360"/>
        </w:trPr>
        <w:tc>
          <w:tcPr>
            <w:tcW w:w="840"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AMHC</w:t>
            </w:r>
          </w:p>
        </w:tc>
        <w:tc>
          <w:tcPr>
            <w:tcW w:w="1096" w:type="pct"/>
            <w:tcBorders>
              <w:top w:val="nil"/>
              <w:left w:val="single" w:sz="4"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Calais</w:t>
            </w:r>
          </w:p>
        </w:tc>
        <w:tc>
          <w:tcPr>
            <w:tcW w:w="1316" w:type="pct"/>
            <w:tcBorders>
              <w:top w:val="nil"/>
              <w:left w:val="nil"/>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Washington SO &amp; MSP</w:t>
            </w:r>
          </w:p>
        </w:tc>
        <w:tc>
          <w:tcPr>
            <w:tcW w:w="752" w:type="pct"/>
            <w:tcBorders>
              <w:top w:val="nil"/>
              <w:left w:val="nil"/>
              <w:bottom w:val="single" w:sz="4" w:space="0" w:color="auto"/>
              <w:right w:val="single" w:sz="4"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20</w:t>
            </w:r>
          </w:p>
        </w:tc>
        <w:tc>
          <w:tcPr>
            <w:tcW w:w="996" w:type="pct"/>
            <w:tcBorders>
              <w:top w:val="single" w:sz="4" w:space="0" w:color="auto"/>
              <w:left w:val="nil"/>
              <w:bottom w:val="single" w:sz="4" w:space="0" w:color="auto"/>
              <w:right w:val="single" w:sz="8"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13</w:t>
            </w:r>
          </w:p>
        </w:tc>
      </w:tr>
      <w:tr w:rsidR="002701AA" w:rsidRPr="00466DF6" w:rsidTr="00663703">
        <w:trPr>
          <w:trHeight w:val="288"/>
        </w:trPr>
        <w:tc>
          <w:tcPr>
            <w:tcW w:w="840" w:type="pct"/>
            <w:tcBorders>
              <w:top w:val="single" w:sz="4" w:space="0" w:color="auto"/>
              <w:left w:val="single" w:sz="8" w:space="0" w:color="auto"/>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 </w:t>
            </w:r>
          </w:p>
        </w:tc>
        <w:tc>
          <w:tcPr>
            <w:tcW w:w="1096" w:type="pct"/>
            <w:tcBorders>
              <w:top w:val="single" w:sz="4" w:space="0" w:color="auto"/>
              <w:left w:val="nil"/>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1316" w:type="pct"/>
            <w:tcBorders>
              <w:top w:val="single" w:sz="4" w:space="0" w:color="auto"/>
              <w:left w:val="nil"/>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752" w:type="pct"/>
            <w:tcBorders>
              <w:top w:val="single" w:sz="4" w:space="0" w:color="auto"/>
              <w:left w:val="nil"/>
              <w:bottom w:val="single" w:sz="4" w:space="0" w:color="auto"/>
              <w:right w:val="nil"/>
            </w:tcBorders>
            <w:shd w:val="clear" w:color="000000" w:fill="F2F2F2"/>
            <w:noWrap/>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996" w:type="pct"/>
            <w:tcBorders>
              <w:top w:val="single" w:sz="4" w:space="0" w:color="auto"/>
              <w:left w:val="nil"/>
              <w:bottom w:val="single" w:sz="4" w:space="0" w:color="auto"/>
              <w:right w:val="single" w:sz="8" w:space="0" w:color="auto"/>
            </w:tcBorders>
            <w:shd w:val="clear" w:color="000000" w:fill="F2F2F2"/>
            <w:noWrap/>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r>
      <w:tr w:rsidR="002701AA" w:rsidRPr="00466DF6" w:rsidTr="00663703">
        <w:trPr>
          <w:trHeight w:val="360"/>
        </w:trPr>
        <w:tc>
          <w:tcPr>
            <w:tcW w:w="840"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Becket House</w:t>
            </w:r>
          </w:p>
        </w:tc>
        <w:tc>
          <w:tcPr>
            <w:tcW w:w="1096" w:type="pct"/>
            <w:tcBorders>
              <w:top w:val="nil"/>
              <w:left w:val="single" w:sz="4"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Auburn</w:t>
            </w:r>
          </w:p>
        </w:tc>
        <w:tc>
          <w:tcPr>
            <w:tcW w:w="1316" w:type="pct"/>
            <w:tcBorders>
              <w:top w:val="nil"/>
              <w:left w:val="nil"/>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Auburn PD</w:t>
            </w:r>
          </w:p>
        </w:tc>
        <w:tc>
          <w:tcPr>
            <w:tcW w:w="752" w:type="pct"/>
            <w:tcBorders>
              <w:top w:val="nil"/>
              <w:left w:val="nil"/>
              <w:bottom w:val="single" w:sz="4" w:space="0" w:color="auto"/>
              <w:right w:val="single" w:sz="4"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8</w:t>
            </w:r>
          </w:p>
        </w:tc>
        <w:tc>
          <w:tcPr>
            <w:tcW w:w="996" w:type="pct"/>
            <w:tcBorders>
              <w:top w:val="single" w:sz="4" w:space="0" w:color="auto"/>
              <w:left w:val="nil"/>
              <w:bottom w:val="single" w:sz="4" w:space="0" w:color="auto"/>
              <w:right w:val="single" w:sz="8"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24</w:t>
            </w:r>
          </w:p>
        </w:tc>
      </w:tr>
      <w:tr w:rsidR="002701AA" w:rsidRPr="00466DF6" w:rsidTr="00663703">
        <w:trPr>
          <w:trHeight w:val="360"/>
        </w:trPr>
        <w:tc>
          <w:tcPr>
            <w:tcW w:w="840" w:type="pct"/>
            <w:tcBorders>
              <w:top w:val="nil"/>
              <w:left w:val="single" w:sz="8"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Becket House</w:t>
            </w:r>
          </w:p>
        </w:tc>
        <w:tc>
          <w:tcPr>
            <w:tcW w:w="1096" w:type="pct"/>
            <w:tcBorders>
              <w:top w:val="nil"/>
              <w:left w:val="single" w:sz="4"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Belgrade</w:t>
            </w:r>
          </w:p>
        </w:tc>
        <w:tc>
          <w:tcPr>
            <w:tcW w:w="1316" w:type="pct"/>
            <w:tcBorders>
              <w:top w:val="nil"/>
              <w:left w:val="nil"/>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Kennebec SO &amp; MSP</w:t>
            </w:r>
          </w:p>
        </w:tc>
        <w:tc>
          <w:tcPr>
            <w:tcW w:w="752" w:type="pct"/>
            <w:tcBorders>
              <w:top w:val="nil"/>
              <w:left w:val="nil"/>
              <w:bottom w:val="single" w:sz="4" w:space="0" w:color="auto"/>
              <w:right w:val="single" w:sz="4"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14</w:t>
            </w:r>
          </w:p>
        </w:tc>
        <w:tc>
          <w:tcPr>
            <w:tcW w:w="996" w:type="pct"/>
            <w:tcBorders>
              <w:top w:val="nil"/>
              <w:left w:val="nil"/>
              <w:bottom w:val="single" w:sz="4" w:space="0" w:color="auto"/>
              <w:right w:val="single" w:sz="8"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8</w:t>
            </w:r>
          </w:p>
        </w:tc>
      </w:tr>
      <w:tr w:rsidR="002701AA" w:rsidRPr="00466DF6" w:rsidTr="00663703">
        <w:trPr>
          <w:trHeight w:val="360"/>
        </w:trPr>
        <w:tc>
          <w:tcPr>
            <w:tcW w:w="840" w:type="pct"/>
            <w:tcBorders>
              <w:top w:val="nil"/>
              <w:left w:val="single" w:sz="8"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Becket House</w:t>
            </w:r>
          </w:p>
        </w:tc>
        <w:tc>
          <w:tcPr>
            <w:tcW w:w="1096" w:type="pct"/>
            <w:tcBorders>
              <w:top w:val="nil"/>
              <w:left w:val="single" w:sz="4"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Lewiston</w:t>
            </w:r>
          </w:p>
        </w:tc>
        <w:tc>
          <w:tcPr>
            <w:tcW w:w="1316" w:type="pct"/>
            <w:tcBorders>
              <w:top w:val="nil"/>
              <w:left w:val="nil"/>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Lewiston PD</w:t>
            </w:r>
          </w:p>
        </w:tc>
        <w:tc>
          <w:tcPr>
            <w:tcW w:w="752" w:type="pct"/>
            <w:tcBorders>
              <w:top w:val="nil"/>
              <w:left w:val="nil"/>
              <w:bottom w:val="single" w:sz="4" w:space="0" w:color="auto"/>
              <w:right w:val="single" w:sz="4"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8</w:t>
            </w:r>
          </w:p>
        </w:tc>
        <w:tc>
          <w:tcPr>
            <w:tcW w:w="996" w:type="pct"/>
            <w:tcBorders>
              <w:top w:val="nil"/>
              <w:left w:val="nil"/>
              <w:bottom w:val="single" w:sz="4" w:space="0" w:color="auto"/>
              <w:right w:val="single" w:sz="8"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2</w:t>
            </w:r>
          </w:p>
        </w:tc>
      </w:tr>
      <w:tr w:rsidR="002701AA" w:rsidRPr="00466DF6" w:rsidTr="00663703">
        <w:trPr>
          <w:trHeight w:val="360"/>
        </w:trPr>
        <w:tc>
          <w:tcPr>
            <w:tcW w:w="840" w:type="pct"/>
            <w:tcBorders>
              <w:top w:val="nil"/>
              <w:left w:val="single" w:sz="8"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Becket House</w:t>
            </w:r>
          </w:p>
        </w:tc>
        <w:tc>
          <w:tcPr>
            <w:tcW w:w="1096" w:type="pct"/>
            <w:tcBorders>
              <w:top w:val="nil"/>
              <w:left w:val="single" w:sz="4"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Litchfield</w:t>
            </w:r>
          </w:p>
        </w:tc>
        <w:tc>
          <w:tcPr>
            <w:tcW w:w="1316" w:type="pct"/>
            <w:tcBorders>
              <w:top w:val="nil"/>
              <w:left w:val="nil"/>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Kennebec SO &amp; MSP</w:t>
            </w:r>
          </w:p>
        </w:tc>
        <w:tc>
          <w:tcPr>
            <w:tcW w:w="752" w:type="pct"/>
            <w:tcBorders>
              <w:top w:val="nil"/>
              <w:left w:val="nil"/>
              <w:bottom w:val="single" w:sz="4" w:space="0" w:color="auto"/>
              <w:right w:val="single" w:sz="4"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10</w:t>
            </w:r>
          </w:p>
        </w:tc>
        <w:tc>
          <w:tcPr>
            <w:tcW w:w="996" w:type="pct"/>
            <w:tcBorders>
              <w:top w:val="nil"/>
              <w:left w:val="nil"/>
              <w:bottom w:val="single" w:sz="4" w:space="0" w:color="auto"/>
              <w:right w:val="single" w:sz="8"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8</w:t>
            </w:r>
          </w:p>
        </w:tc>
      </w:tr>
      <w:tr w:rsidR="002701AA" w:rsidRPr="00466DF6" w:rsidTr="00663703">
        <w:trPr>
          <w:trHeight w:val="288"/>
        </w:trPr>
        <w:tc>
          <w:tcPr>
            <w:tcW w:w="840" w:type="pct"/>
            <w:tcBorders>
              <w:top w:val="single" w:sz="4" w:space="0" w:color="auto"/>
              <w:left w:val="single" w:sz="8" w:space="0" w:color="auto"/>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 </w:t>
            </w:r>
          </w:p>
        </w:tc>
        <w:tc>
          <w:tcPr>
            <w:tcW w:w="1096" w:type="pct"/>
            <w:tcBorders>
              <w:top w:val="single" w:sz="4" w:space="0" w:color="auto"/>
              <w:left w:val="nil"/>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1316" w:type="pct"/>
            <w:tcBorders>
              <w:top w:val="single" w:sz="4" w:space="0" w:color="auto"/>
              <w:left w:val="nil"/>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752" w:type="pct"/>
            <w:tcBorders>
              <w:top w:val="single" w:sz="4" w:space="0" w:color="auto"/>
              <w:left w:val="nil"/>
              <w:bottom w:val="single" w:sz="4" w:space="0" w:color="auto"/>
              <w:right w:val="nil"/>
            </w:tcBorders>
            <w:shd w:val="clear" w:color="000000" w:fill="F2F2F2"/>
            <w:noWrap/>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996" w:type="pct"/>
            <w:tcBorders>
              <w:top w:val="single" w:sz="4" w:space="0" w:color="auto"/>
              <w:left w:val="nil"/>
              <w:bottom w:val="single" w:sz="4" w:space="0" w:color="auto"/>
              <w:right w:val="single" w:sz="8" w:space="0" w:color="auto"/>
            </w:tcBorders>
            <w:shd w:val="clear" w:color="000000" w:fill="F2F2F2"/>
            <w:noWrap/>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r>
      <w:tr w:rsidR="002701AA" w:rsidRPr="00466DF6" w:rsidTr="00663703">
        <w:trPr>
          <w:trHeight w:val="360"/>
        </w:trPr>
        <w:tc>
          <w:tcPr>
            <w:tcW w:w="840"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proofErr w:type="spellStart"/>
            <w:r w:rsidRPr="00663703">
              <w:rPr>
                <w:rFonts w:ascii="Calibri" w:eastAsia="Times New Roman" w:hAnsi="Calibri" w:cs="Times New Roman"/>
                <w:b/>
                <w:bCs/>
                <w:color w:val="000000"/>
                <w:sz w:val="24"/>
                <w:szCs w:val="24"/>
              </w:rPr>
              <w:t>Kidspeace</w:t>
            </w:r>
            <w:proofErr w:type="spellEnd"/>
          </w:p>
        </w:tc>
        <w:tc>
          <w:tcPr>
            <w:tcW w:w="1096" w:type="pct"/>
            <w:tcBorders>
              <w:top w:val="nil"/>
              <w:left w:val="single" w:sz="4"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Graham Lake Campus</w:t>
            </w:r>
          </w:p>
        </w:tc>
        <w:tc>
          <w:tcPr>
            <w:tcW w:w="1316" w:type="pct"/>
            <w:tcBorders>
              <w:top w:val="nil"/>
              <w:left w:val="nil"/>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Ellsworth PD</w:t>
            </w:r>
          </w:p>
        </w:tc>
        <w:tc>
          <w:tcPr>
            <w:tcW w:w="752" w:type="pct"/>
            <w:tcBorders>
              <w:top w:val="nil"/>
              <w:left w:val="nil"/>
              <w:bottom w:val="single" w:sz="4" w:space="0" w:color="auto"/>
              <w:right w:val="single" w:sz="4"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44</w:t>
            </w:r>
          </w:p>
        </w:tc>
        <w:tc>
          <w:tcPr>
            <w:tcW w:w="996" w:type="pct"/>
            <w:tcBorders>
              <w:top w:val="single" w:sz="4" w:space="0" w:color="auto"/>
              <w:left w:val="nil"/>
              <w:bottom w:val="single" w:sz="4" w:space="0" w:color="auto"/>
              <w:right w:val="single" w:sz="8"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5</w:t>
            </w:r>
          </w:p>
        </w:tc>
      </w:tr>
      <w:tr w:rsidR="002701AA" w:rsidRPr="00466DF6" w:rsidTr="00663703">
        <w:trPr>
          <w:trHeight w:val="288"/>
        </w:trPr>
        <w:tc>
          <w:tcPr>
            <w:tcW w:w="840" w:type="pct"/>
            <w:tcBorders>
              <w:top w:val="single" w:sz="4" w:space="0" w:color="auto"/>
              <w:left w:val="single" w:sz="8" w:space="0" w:color="auto"/>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 </w:t>
            </w:r>
          </w:p>
        </w:tc>
        <w:tc>
          <w:tcPr>
            <w:tcW w:w="1096" w:type="pct"/>
            <w:tcBorders>
              <w:top w:val="single" w:sz="4" w:space="0" w:color="auto"/>
              <w:left w:val="nil"/>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1316" w:type="pct"/>
            <w:tcBorders>
              <w:top w:val="single" w:sz="4" w:space="0" w:color="auto"/>
              <w:left w:val="nil"/>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752" w:type="pct"/>
            <w:tcBorders>
              <w:top w:val="single" w:sz="4" w:space="0" w:color="auto"/>
              <w:left w:val="nil"/>
              <w:bottom w:val="single" w:sz="4" w:space="0" w:color="auto"/>
              <w:right w:val="nil"/>
            </w:tcBorders>
            <w:shd w:val="clear" w:color="000000" w:fill="F2F2F2"/>
            <w:noWrap/>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996" w:type="pct"/>
            <w:tcBorders>
              <w:top w:val="single" w:sz="4" w:space="0" w:color="auto"/>
              <w:left w:val="nil"/>
              <w:bottom w:val="single" w:sz="4" w:space="0" w:color="auto"/>
              <w:right w:val="single" w:sz="8" w:space="0" w:color="auto"/>
            </w:tcBorders>
            <w:shd w:val="clear" w:color="000000" w:fill="F2F2F2"/>
            <w:noWrap/>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r>
      <w:tr w:rsidR="002701AA" w:rsidRPr="00466DF6" w:rsidTr="00663703">
        <w:trPr>
          <w:trHeight w:val="360"/>
        </w:trPr>
        <w:tc>
          <w:tcPr>
            <w:tcW w:w="840" w:type="pct"/>
            <w:tcBorders>
              <w:top w:val="nil"/>
              <w:left w:val="single" w:sz="8"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NFI</w:t>
            </w:r>
          </w:p>
        </w:tc>
        <w:tc>
          <w:tcPr>
            <w:tcW w:w="1096" w:type="pct"/>
            <w:tcBorders>
              <w:top w:val="nil"/>
              <w:left w:val="single" w:sz="4"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xml:space="preserve">Beacon House </w:t>
            </w:r>
          </w:p>
        </w:tc>
        <w:tc>
          <w:tcPr>
            <w:tcW w:w="1316" w:type="pct"/>
            <w:tcBorders>
              <w:top w:val="nil"/>
              <w:left w:val="nil"/>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Buxton PD</w:t>
            </w:r>
          </w:p>
        </w:tc>
        <w:tc>
          <w:tcPr>
            <w:tcW w:w="752" w:type="pct"/>
            <w:tcBorders>
              <w:top w:val="nil"/>
              <w:left w:val="nil"/>
              <w:bottom w:val="single" w:sz="4" w:space="0" w:color="auto"/>
              <w:right w:val="single" w:sz="4"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8</w:t>
            </w:r>
          </w:p>
        </w:tc>
        <w:tc>
          <w:tcPr>
            <w:tcW w:w="996" w:type="pct"/>
            <w:tcBorders>
              <w:top w:val="nil"/>
              <w:left w:val="nil"/>
              <w:bottom w:val="single" w:sz="4" w:space="0" w:color="auto"/>
              <w:right w:val="single" w:sz="8"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23</w:t>
            </w:r>
          </w:p>
        </w:tc>
      </w:tr>
      <w:tr w:rsidR="002701AA" w:rsidRPr="00466DF6" w:rsidTr="00663703">
        <w:trPr>
          <w:trHeight w:val="360"/>
        </w:trPr>
        <w:tc>
          <w:tcPr>
            <w:tcW w:w="840" w:type="pct"/>
            <w:tcBorders>
              <w:top w:val="nil"/>
              <w:left w:val="single" w:sz="8"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NFI</w:t>
            </w:r>
          </w:p>
        </w:tc>
        <w:tc>
          <w:tcPr>
            <w:tcW w:w="1096" w:type="pct"/>
            <w:tcBorders>
              <w:top w:val="nil"/>
              <w:left w:val="single" w:sz="4"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Bridge Crossing</w:t>
            </w:r>
          </w:p>
        </w:tc>
        <w:tc>
          <w:tcPr>
            <w:tcW w:w="1316" w:type="pct"/>
            <w:tcBorders>
              <w:top w:val="nil"/>
              <w:left w:val="nil"/>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Bridgton PD</w:t>
            </w:r>
          </w:p>
        </w:tc>
        <w:tc>
          <w:tcPr>
            <w:tcW w:w="752" w:type="pct"/>
            <w:tcBorders>
              <w:top w:val="nil"/>
              <w:left w:val="nil"/>
              <w:bottom w:val="single" w:sz="4" w:space="0" w:color="auto"/>
              <w:right w:val="single" w:sz="4"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10</w:t>
            </w:r>
          </w:p>
        </w:tc>
        <w:tc>
          <w:tcPr>
            <w:tcW w:w="996" w:type="pct"/>
            <w:tcBorders>
              <w:top w:val="nil"/>
              <w:left w:val="nil"/>
              <w:bottom w:val="single" w:sz="4" w:space="0" w:color="auto"/>
              <w:right w:val="single" w:sz="8"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1</w:t>
            </w:r>
          </w:p>
        </w:tc>
      </w:tr>
      <w:tr w:rsidR="002701AA" w:rsidRPr="00466DF6" w:rsidTr="00663703">
        <w:trPr>
          <w:trHeight w:val="360"/>
        </w:trPr>
        <w:tc>
          <w:tcPr>
            <w:tcW w:w="840" w:type="pct"/>
            <w:tcBorders>
              <w:top w:val="nil"/>
              <w:left w:val="single" w:sz="8"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NFI</w:t>
            </w:r>
          </w:p>
        </w:tc>
        <w:tc>
          <w:tcPr>
            <w:tcW w:w="1096" w:type="pct"/>
            <w:tcBorders>
              <w:top w:val="nil"/>
              <w:left w:val="single" w:sz="4"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Oliver Place</w:t>
            </w:r>
          </w:p>
        </w:tc>
        <w:tc>
          <w:tcPr>
            <w:tcW w:w="1316" w:type="pct"/>
            <w:tcBorders>
              <w:top w:val="nil"/>
              <w:left w:val="nil"/>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Bath PD</w:t>
            </w:r>
          </w:p>
        </w:tc>
        <w:tc>
          <w:tcPr>
            <w:tcW w:w="752" w:type="pct"/>
            <w:tcBorders>
              <w:top w:val="nil"/>
              <w:left w:val="nil"/>
              <w:bottom w:val="single" w:sz="4" w:space="0" w:color="auto"/>
              <w:right w:val="single" w:sz="4"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6</w:t>
            </w:r>
          </w:p>
        </w:tc>
        <w:tc>
          <w:tcPr>
            <w:tcW w:w="996" w:type="pct"/>
            <w:tcBorders>
              <w:top w:val="nil"/>
              <w:left w:val="nil"/>
              <w:bottom w:val="single" w:sz="4" w:space="0" w:color="auto"/>
              <w:right w:val="single" w:sz="8"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13</w:t>
            </w:r>
          </w:p>
        </w:tc>
      </w:tr>
      <w:tr w:rsidR="002701AA" w:rsidRPr="00466DF6" w:rsidTr="00663703">
        <w:trPr>
          <w:trHeight w:val="360"/>
        </w:trPr>
        <w:tc>
          <w:tcPr>
            <w:tcW w:w="840" w:type="pct"/>
            <w:tcBorders>
              <w:top w:val="nil"/>
              <w:left w:val="single" w:sz="8"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NFI</w:t>
            </w:r>
          </w:p>
        </w:tc>
        <w:tc>
          <w:tcPr>
            <w:tcW w:w="1096" w:type="pct"/>
            <w:tcBorders>
              <w:top w:val="nil"/>
              <w:left w:val="single" w:sz="4"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Sidney Riverbend</w:t>
            </w:r>
          </w:p>
        </w:tc>
        <w:tc>
          <w:tcPr>
            <w:tcW w:w="1316" w:type="pct"/>
            <w:tcBorders>
              <w:top w:val="nil"/>
              <w:left w:val="nil"/>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Kennebec SO &amp; MSP</w:t>
            </w:r>
          </w:p>
        </w:tc>
        <w:tc>
          <w:tcPr>
            <w:tcW w:w="752" w:type="pct"/>
            <w:tcBorders>
              <w:top w:val="nil"/>
              <w:left w:val="nil"/>
              <w:bottom w:val="single" w:sz="4" w:space="0" w:color="auto"/>
              <w:right w:val="single" w:sz="4"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8</w:t>
            </w:r>
          </w:p>
        </w:tc>
        <w:tc>
          <w:tcPr>
            <w:tcW w:w="996" w:type="pct"/>
            <w:tcBorders>
              <w:top w:val="nil"/>
              <w:left w:val="nil"/>
              <w:bottom w:val="single" w:sz="4" w:space="0" w:color="auto"/>
              <w:right w:val="single" w:sz="8"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33</w:t>
            </w:r>
          </w:p>
        </w:tc>
      </w:tr>
      <w:tr w:rsidR="002701AA" w:rsidRPr="00466DF6" w:rsidTr="00663703">
        <w:trPr>
          <w:trHeight w:val="360"/>
        </w:trPr>
        <w:tc>
          <w:tcPr>
            <w:tcW w:w="840" w:type="pct"/>
            <w:tcBorders>
              <w:top w:val="nil"/>
              <w:left w:val="single" w:sz="8"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NFI</w:t>
            </w:r>
          </w:p>
        </w:tc>
        <w:tc>
          <w:tcPr>
            <w:tcW w:w="1096" w:type="pct"/>
            <w:tcBorders>
              <w:top w:val="nil"/>
              <w:left w:val="single" w:sz="4"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Stetson Ranch</w:t>
            </w:r>
          </w:p>
        </w:tc>
        <w:tc>
          <w:tcPr>
            <w:tcW w:w="1316" w:type="pct"/>
            <w:tcBorders>
              <w:top w:val="nil"/>
              <w:left w:val="nil"/>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Penobscot SO &amp; MSP</w:t>
            </w:r>
          </w:p>
        </w:tc>
        <w:tc>
          <w:tcPr>
            <w:tcW w:w="752" w:type="pct"/>
            <w:tcBorders>
              <w:top w:val="nil"/>
              <w:left w:val="nil"/>
              <w:bottom w:val="single" w:sz="4" w:space="0" w:color="auto"/>
              <w:right w:val="single" w:sz="4"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8</w:t>
            </w:r>
          </w:p>
        </w:tc>
        <w:tc>
          <w:tcPr>
            <w:tcW w:w="996" w:type="pct"/>
            <w:tcBorders>
              <w:top w:val="nil"/>
              <w:left w:val="nil"/>
              <w:bottom w:val="single" w:sz="4" w:space="0" w:color="auto"/>
              <w:right w:val="single" w:sz="8"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43</w:t>
            </w:r>
          </w:p>
        </w:tc>
      </w:tr>
      <w:tr w:rsidR="002701AA" w:rsidRPr="00466DF6" w:rsidTr="00663703">
        <w:trPr>
          <w:trHeight w:val="360"/>
        </w:trPr>
        <w:tc>
          <w:tcPr>
            <w:tcW w:w="840" w:type="pct"/>
            <w:tcBorders>
              <w:top w:val="single" w:sz="4" w:space="0" w:color="auto"/>
              <w:left w:val="single" w:sz="8" w:space="0" w:color="auto"/>
              <w:bottom w:val="single" w:sz="4" w:space="0" w:color="95B3D7"/>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NFI</w:t>
            </w:r>
          </w:p>
        </w:tc>
        <w:tc>
          <w:tcPr>
            <w:tcW w:w="1096" w:type="pct"/>
            <w:tcBorders>
              <w:top w:val="nil"/>
              <w:left w:val="nil"/>
              <w:bottom w:val="single" w:sz="4" w:space="0" w:color="95B3D7"/>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Summit View</w:t>
            </w:r>
          </w:p>
        </w:tc>
        <w:tc>
          <w:tcPr>
            <w:tcW w:w="1316" w:type="pct"/>
            <w:tcBorders>
              <w:top w:val="nil"/>
              <w:left w:val="nil"/>
              <w:bottom w:val="single" w:sz="4" w:space="0" w:color="95B3D7"/>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Bangor PD</w:t>
            </w:r>
          </w:p>
        </w:tc>
        <w:tc>
          <w:tcPr>
            <w:tcW w:w="752" w:type="pct"/>
            <w:tcBorders>
              <w:top w:val="nil"/>
              <w:left w:val="nil"/>
              <w:bottom w:val="single" w:sz="4" w:space="0" w:color="95B3D7"/>
              <w:right w:val="single" w:sz="4"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6</w:t>
            </w:r>
          </w:p>
        </w:tc>
        <w:tc>
          <w:tcPr>
            <w:tcW w:w="996" w:type="pct"/>
            <w:tcBorders>
              <w:top w:val="nil"/>
              <w:left w:val="nil"/>
              <w:bottom w:val="single" w:sz="4" w:space="0" w:color="95B3D7"/>
              <w:right w:val="single" w:sz="8"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11</w:t>
            </w:r>
          </w:p>
        </w:tc>
      </w:tr>
      <w:tr w:rsidR="002701AA" w:rsidRPr="00466DF6" w:rsidTr="00663703">
        <w:trPr>
          <w:trHeight w:val="288"/>
        </w:trPr>
        <w:tc>
          <w:tcPr>
            <w:tcW w:w="840" w:type="pct"/>
            <w:tcBorders>
              <w:top w:val="single" w:sz="4" w:space="0" w:color="auto"/>
              <w:left w:val="single" w:sz="8" w:space="0" w:color="auto"/>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 </w:t>
            </w:r>
          </w:p>
        </w:tc>
        <w:tc>
          <w:tcPr>
            <w:tcW w:w="1096" w:type="pct"/>
            <w:tcBorders>
              <w:top w:val="single" w:sz="4" w:space="0" w:color="auto"/>
              <w:left w:val="nil"/>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1316" w:type="pct"/>
            <w:tcBorders>
              <w:top w:val="single" w:sz="4" w:space="0" w:color="auto"/>
              <w:left w:val="nil"/>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752" w:type="pct"/>
            <w:tcBorders>
              <w:top w:val="single" w:sz="4" w:space="0" w:color="auto"/>
              <w:left w:val="nil"/>
              <w:bottom w:val="single" w:sz="4" w:space="0" w:color="auto"/>
              <w:right w:val="nil"/>
            </w:tcBorders>
            <w:shd w:val="clear" w:color="000000" w:fill="F2F2F2"/>
            <w:noWrap/>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996" w:type="pct"/>
            <w:tcBorders>
              <w:top w:val="single" w:sz="4" w:space="0" w:color="auto"/>
              <w:left w:val="nil"/>
              <w:bottom w:val="single" w:sz="4" w:space="0" w:color="auto"/>
              <w:right w:val="single" w:sz="8" w:space="0" w:color="auto"/>
            </w:tcBorders>
            <w:shd w:val="clear" w:color="000000" w:fill="F2F2F2"/>
            <w:noWrap/>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r>
      <w:tr w:rsidR="002701AA" w:rsidRPr="00466DF6" w:rsidTr="00663703">
        <w:trPr>
          <w:trHeight w:val="360"/>
        </w:trPr>
        <w:tc>
          <w:tcPr>
            <w:tcW w:w="840" w:type="pct"/>
            <w:tcBorders>
              <w:top w:val="single" w:sz="4" w:space="0" w:color="auto"/>
              <w:left w:val="single" w:sz="8" w:space="0" w:color="auto"/>
              <w:bottom w:val="single" w:sz="8"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Opportunity Alliance</w:t>
            </w:r>
          </w:p>
        </w:tc>
        <w:tc>
          <w:tcPr>
            <w:tcW w:w="1096" w:type="pct"/>
            <w:tcBorders>
              <w:top w:val="nil"/>
              <w:left w:val="single" w:sz="4" w:space="0" w:color="auto"/>
              <w:bottom w:val="single" w:sz="8"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xml:space="preserve"> Edgewood</w:t>
            </w:r>
          </w:p>
        </w:tc>
        <w:tc>
          <w:tcPr>
            <w:tcW w:w="1316" w:type="pct"/>
            <w:tcBorders>
              <w:top w:val="nil"/>
              <w:left w:val="nil"/>
              <w:bottom w:val="single" w:sz="8"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Scarborough PD</w:t>
            </w:r>
          </w:p>
        </w:tc>
        <w:tc>
          <w:tcPr>
            <w:tcW w:w="752" w:type="pct"/>
            <w:tcBorders>
              <w:top w:val="nil"/>
              <w:left w:val="nil"/>
              <w:bottom w:val="single" w:sz="8" w:space="0" w:color="auto"/>
              <w:right w:val="single" w:sz="4"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6</w:t>
            </w:r>
          </w:p>
        </w:tc>
        <w:tc>
          <w:tcPr>
            <w:tcW w:w="996" w:type="pct"/>
            <w:tcBorders>
              <w:top w:val="single" w:sz="4" w:space="0" w:color="auto"/>
              <w:left w:val="nil"/>
              <w:bottom w:val="single" w:sz="8" w:space="0" w:color="auto"/>
              <w:right w:val="single" w:sz="8"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38</w:t>
            </w:r>
          </w:p>
        </w:tc>
      </w:tr>
      <w:tr w:rsidR="002701AA" w:rsidRPr="00466DF6" w:rsidTr="00663703">
        <w:trPr>
          <w:trHeight w:val="288"/>
        </w:trPr>
        <w:tc>
          <w:tcPr>
            <w:tcW w:w="840" w:type="pct"/>
            <w:tcBorders>
              <w:top w:val="single" w:sz="4" w:space="0" w:color="auto"/>
              <w:left w:val="single" w:sz="8" w:space="0" w:color="auto"/>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 </w:t>
            </w:r>
          </w:p>
        </w:tc>
        <w:tc>
          <w:tcPr>
            <w:tcW w:w="1096" w:type="pct"/>
            <w:tcBorders>
              <w:top w:val="single" w:sz="4" w:space="0" w:color="auto"/>
              <w:left w:val="nil"/>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1316" w:type="pct"/>
            <w:tcBorders>
              <w:top w:val="single" w:sz="4" w:space="0" w:color="auto"/>
              <w:left w:val="nil"/>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752" w:type="pct"/>
            <w:tcBorders>
              <w:top w:val="single" w:sz="4" w:space="0" w:color="auto"/>
              <w:left w:val="nil"/>
              <w:bottom w:val="single" w:sz="4" w:space="0" w:color="auto"/>
              <w:right w:val="nil"/>
            </w:tcBorders>
            <w:shd w:val="clear" w:color="000000" w:fill="F2F2F2"/>
            <w:noWrap/>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996" w:type="pct"/>
            <w:tcBorders>
              <w:top w:val="single" w:sz="4" w:space="0" w:color="auto"/>
              <w:left w:val="nil"/>
              <w:bottom w:val="single" w:sz="4" w:space="0" w:color="auto"/>
              <w:right w:val="single" w:sz="8" w:space="0" w:color="auto"/>
            </w:tcBorders>
            <w:shd w:val="clear" w:color="000000" w:fill="F2F2F2"/>
            <w:noWrap/>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r>
      <w:tr w:rsidR="002701AA" w:rsidRPr="00466DF6" w:rsidTr="00663703">
        <w:trPr>
          <w:trHeight w:val="360"/>
        </w:trPr>
        <w:tc>
          <w:tcPr>
            <w:tcW w:w="840"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Spurwink</w:t>
            </w:r>
          </w:p>
        </w:tc>
        <w:tc>
          <w:tcPr>
            <w:tcW w:w="1096" w:type="pct"/>
            <w:tcBorders>
              <w:top w:val="nil"/>
              <w:left w:val="single" w:sz="4"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xml:space="preserve">Brunswick </w:t>
            </w:r>
          </w:p>
        </w:tc>
        <w:tc>
          <w:tcPr>
            <w:tcW w:w="1316" w:type="pct"/>
            <w:tcBorders>
              <w:top w:val="nil"/>
              <w:left w:val="nil"/>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Brunswick PD</w:t>
            </w:r>
          </w:p>
        </w:tc>
        <w:tc>
          <w:tcPr>
            <w:tcW w:w="752" w:type="pct"/>
            <w:tcBorders>
              <w:top w:val="nil"/>
              <w:left w:val="nil"/>
              <w:bottom w:val="single" w:sz="4" w:space="0" w:color="auto"/>
              <w:right w:val="single" w:sz="4"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12</w:t>
            </w:r>
          </w:p>
        </w:tc>
        <w:tc>
          <w:tcPr>
            <w:tcW w:w="996" w:type="pct"/>
            <w:tcBorders>
              <w:top w:val="single" w:sz="4" w:space="0" w:color="auto"/>
              <w:left w:val="nil"/>
              <w:bottom w:val="single" w:sz="4" w:space="0" w:color="auto"/>
              <w:right w:val="single" w:sz="8"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21</w:t>
            </w:r>
          </w:p>
        </w:tc>
      </w:tr>
      <w:tr w:rsidR="002701AA" w:rsidRPr="00466DF6" w:rsidTr="00663703">
        <w:trPr>
          <w:trHeight w:val="360"/>
        </w:trPr>
        <w:tc>
          <w:tcPr>
            <w:tcW w:w="840" w:type="pct"/>
            <w:tcBorders>
              <w:top w:val="nil"/>
              <w:left w:val="single" w:sz="8"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Spurwink</w:t>
            </w:r>
          </w:p>
        </w:tc>
        <w:tc>
          <w:tcPr>
            <w:tcW w:w="1096" w:type="pct"/>
            <w:tcBorders>
              <w:top w:val="nil"/>
              <w:left w:val="single" w:sz="4"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xml:space="preserve">Casco </w:t>
            </w:r>
          </w:p>
        </w:tc>
        <w:tc>
          <w:tcPr>
            <w:tcW w:w="1316" w:type="pct"/>
            <w:tcBorders>
              <w:top w:val="nil"/>
              <w:left w:val="nil"/>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Cumberland SO &amp; MSP</w:t>
            </w:r>
          </w:p>
        </w:tc>
        <w:tc>
          <w:tcPr>
            <w:tcW w:w="752" w:type="pct"/>
            <w:tcBorders>
              <w:top w:val="nil"/>
              <w:left w:val="nil"/>
              <w:bottom w:val="single" w:sz="4" w:space="0" w:color="auto"/>
              <w:right w:val="single" w:sz="4"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12</w:t>
            </w:r>
          </w:p>
        </w:tc>
        <w:tc>
          <w:tcPr>
            <w:tcW w:w="996" w:type="pct"/>
            <w:tcBorders>
              <w:top w:val="nil"/>
              <w:left w:val="nil"/>
              <w:bottom w:val="single" w:sz="4" w:space="0" w:color="auto"/>
              <w:right w:val="single" w:sz="8"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10</w:t>
            </w:r>
          </w:p>
        </w:tc>
      </w:tr>
      <w:tr w:rsidR="002701AA" w:rsidRPr="00466DF6" w:rsidTr="00663703">
        <w:trPr>
          <w:trHeight w:val="360"/>
        </w:trPr>
        <w:tc>
          <w:tcPr>
            <w:tcW w:w="840" w:type="pct"/>
            <w:tcBorders>
              <w:top w:val="nil"/>
              <w:left w:val="single" w:sz="8"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Spurwink</w:t>
            </w:r>
          </w:p>
        </w:tc>
        <w:tc>
          <w:tcPr>
            <w:tcW w:w="1096" w:type="pct"/>
            <w:tcBorders>
              <w:top w:val="nil"/>
              <w:left w:val="single" w:sz="4"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Chelsea</w:t>
            </w:r>
          </w:p>
        </w:tc>
        <w:tc>
          <w:tcPr>
            <w:tcW w:w="1316" w:type="pct"/>
            <w:tcBorders>
              <w:top w:val="nil"/>
              <w:left w:val="nil"/>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Kennebec SO &amp; MSP</w:t>
            </w:r>
          </w:p>
        </w:tc>
        <w:tc>
          <w:tcPr>
            <w:tcW w:w="752" w:type="pct"/>
            <w:tcBorders>
              <w:top w:val="nil"/>
              <w:left w:val="nil"/>
              <w:bottom w:val="single" w:sz="4" w:space="0" w:color="auto"/>
              <w:right w:val="single" w:sz="4"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16</w:t>
            </w:r>
          </w:p>
        </w:tc>
        <w:tc>
          <w:tcPr>
            <w:tcW w:w="996" w:type="pct"/>
            <w:tcBorders>
              <w:top w:val="nil"/>
              <w:left w:val="nil"/>
              <w:bottom w:val="single" w:sz="4" w:space="0" w:color="auto"/>
              <w:right w:val="single" w:sz="8"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12</w:t>
            </w:r>
          </w:p>
        </w:tc>
      </w:tr>
      <w:tr w:rsidR="002701AA" w:rsidRPr="00466DF6" w:rsidTr="00663703">
        <w:trPr>
          <w:trHeight w:val="360"/>
        </w:trPr>
        <w:tc>
          <w:tcPr>
            <w:tcW w:w="840" w:type="pct"/>
            <w:tcBorders>
              <w:top w:val="nil"/>
              <w:left w:val="single" w:sz="8"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Spurwink</w:t>
            </w:r>
          </w:p>
        </w:tc>
        <w:tc>
          <w:tcPr>
            <w:tcW w:w="1096" w:type="pct"/>
            <w:tcBorders>
              <w:top w:val="nil"/>
              <w:left w:val="single" w:sz="4"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Cornville</w:t>
            </w:r>
          </w:p>
        </w:tc>
        <w:tc>
          <w:tcPr>
            <w:tcW w:w="1316" w:type="pct"/>
            <w:tcBorders>
              <w:top w:val="nil"/>
              <w:left w:val="nil"/>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Somerset SO &amp; MSP</w:t>
            </w:r>
          </w:p>
        </w:tc>
        <w:tc>
          <w:tcPr>
            <w:tcW w:w="752" w:type="pct"/>
            <w:tcBorders>
              <w:top w:val="nil"/>
              <w:left w:val="nil"/>
              <w:bottom w:val="single" w:sz="4" w:space="0" w:color="auto"/>
              <w:right w:val="single" w:sz="4"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12</w:t>
            </w:r>
          </w:p>
        </w:tc>
        <w:tc>
          <w:tcPr>
            <w:tcW w:w="996" w:type="pct"/>
            <w:tcBorders>
              <w:top w:val="nil"/>
              <w:left w:val="nil"/>
              <w:bottom w:val="single" w:sz="4" w:space="0" w:color="auto"/>
              <w:right w:val="single" w:sz="8"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20</w:t>
            </w:r>
          </w:p>
        </w:tc>
      </w:tr>
      <w:tr w:rsidR="002701AA" w:rsidRPr="00466DF6" w:rsidTr="00663703">
        <w:trPr>
          <w:trHeight w:val="360"/>
        </w:trPr>
        <w:tc>
          <w:tcPr>
            <w:tcW w:w="840" w:type="pct"/>
            <w:tcBorders>
              <w:top w:val="nil"/>
              <w:left w:val="single" w:sz="8"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Spurwink</w:t>
            </w:r>
          </w:p>
        </w:tc>
        <w:tc>
          <w:tcPr>
            <w:tcW w:w="1096" w:type="pct"/>
            <w:tcBorders>
              <w:top w:val="nil"/>
              <w:left w:val="single" w:sz="4"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Lewiston</w:t>
            </w:r>
          </w:p>
        </w:tc>
        <w:tc>
          <w:tcPr>
            <w:tcW w:w="1316" w:type="pct"/>
            <w:tcBorders>
              <w:top w:val="nil"/>
              <w:left w:val="nil"/>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Lewiston PD</w:t>
            </w:r>
          </w:p>
        </w:tc>
        <w:tc>
          <w:tcPr>
            <w:tcW w:w="752" w:type="pct"/>
            <w:tcBorders>
              <w:top w:val="nil"/>
              <w:left w:val="nil"/>
              <w:bottom w:val="single" w:sz="4" w:space="0" w:color="auto"/>
              <w:right w:val="single" w:sz="4"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12</w:t>
            </w:r>
          </w:p>
        </w:tc>
        <w:tc>
          <w:tcPr>
            <w:tcW w:w="996" w:type="pct"/>
            <w:tcBorders>
              <w:top w:val="nil"/>
              <w:left w:val="nil"/>
              <w:bottom w:val="single" w:sz="4" w:space="0" w:color="auto"/>
              <w:right w:val="single" w:sz="8"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4</w:t>
            </w:r>
          </w:p>
        </w:tc>
      </w:tr>
      <w:tr w:rsidR="00663703" w:rsidRPr="00466DF6" w:rsidTr="00933497">
        <w:trPr>
          <w:trHeight w:val="288"/>
        </w:trPr>
        <w:tc>
          <w:tcPr>
            <w:tcW w:w="840" w:type="pct"/>
            <w:tcBorders>
              <w:top w:val="single" w:sz="4" w:space="0" w:color="auto"/>
              <w:left w:val="single" w:sz="8" w:space="0" w:color="auto"/>
              <w:bottom w:val="single" w:sz="4" w:space="0" w:color="auto"/>
              <w:right w:val="nil"/>
            </w:tcBorders>
            <w:shd w:val="clear" w:color="000000" w:fill="F2F2F2"/>
            <w:vAlign w:val="bottom"/>
            <w:hideMark/>
          </w:tcPr>
          <w:p w:rsidR="00663703" w:rsidRPr="00663703" w:rsidRDefault="00663703" w:rsidP="00933497">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 </w:t>
            </w:r>
          </w:p>
        </w:tc>
        <w:tc>
          <w:tcPr>
            <w:tcW w:w="1096" w:type="pct"/>
            <w:tcBorders>
              <w:top w:val="single" w:sz="4" w:space="0" w:color="auto"/>
              <w:left w:val="nil"/>
              <w:bottom w:val="single" w:sz="4" w:space="0" w:color="auto"/>
              <w:right w:val="nil"/>
            </w:tcBorders>
            <w:shd w:val="clear" w:color="000000" w:fill="F2F2F2"/>
            <w:vAlign w:val="bottom"/>
            <w:hideMark/>
          </w:tcPr>
          <w:p w:rsidR="00663703" w:rsidRPr="00663703" w:rsidRDefault="00663703" w:rsidP="00933497">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1316" w:type="pct"/>
            <w:tcBorders>
              <w:top w:val="single" w:sz="4" w:space="0" w:color="auto"/>
              <w:left w:val="nil"/>
              <w:bottom w:val="single" w:sz="4" w:space="0" w:color="auto"/>
              <w:right w:val="nil"/>
            </w:tcBorders>
            <w:shd w:val="clear" w:color="000000" w:fill="F2F2F2"/>
            <w:vAlign w:val="bottom"/>
            <w:hideMark/>
          </w:tcPr>
          <w:p w:rsidR="00663703" w:rsidRPr="00663703" w:rsidRDefault="00663703" w:rsidP="00933497">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752" w:type="pct"/>
            <w:tcBorders>
              <w:top w:val="single" w:sz="4" w:space="0" w:color="auto"/>
              <w:left w:val="nil"/>
              <w:bottom w:val="single" w:sz="4" w:space="0" w:color="auto"/>
              <w:right w:val="nil"/>
            </w:tcBorders>
            <w:shd w:val="clear" w:color="000000" w:fill="F2F2F2"/>
            <w:noWrap/>
            <w:vAlign w:val="bottom"/>
            <w:hideMark/>
          </w:tcPr>
          <w:p w:rsidR="00663703" w:rsidRPr="00663703" w:rsidRDefault="00663703" w:rsidP="00933497">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996" w:type="pct"/>
            <w:tcBorders>
              <w:top w:val="single" w:sz="4" w:space="0" w:color="auto"/>
              <w:left w:val="nil"/>
              <w:bottom w:val="single" w:sz="4" w:space="0" w:color="auto"/>
              <w:right w:val="single" w:sz="8" w:space="0" w:color="auto"/>
            </w:tcBorders>
            <w:shd w:val="clear" w:color="000000" w:fill="F2F2F2"/>
            <w:noWrap/>
            <w:vAlign w:val="bottom"/>
            <w:hideMark/>
          </w:tcPr>
          <w:p w:rsidR="00663703" w:rsidRPr="00663703" w:rsidRDefault="00663703" w:rsidP="00933497">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r>
      <w:tr w:rsidR="002701AA" w:rsidRPr="00466DF6" w:rsidTr="00663703">
        <w:trPr>
          <w:trHeight w:val="360"/>
        </w:trPr>
        <w:tc>
          <w:tcPr>
            <w:tcW w:w="840" w:type="pct"/>
            <w:tcBorders>
              <w:top w:val="single" w:sz="4" w:space="0" w:color="95B3D7"/>
              <w:left w:val="single" w:sz="8"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Sweetser</w:t>
            </w:r>
          </w:p>
        </w:tc>
        <w:tc>
          <w:tcPr>
            <w:tcW w:w="1096" w:type="pct"/>
            <w:tcBorders>
              <w:top w:val="single" w:sz="4" w:space="0" w:color="95B3D7"/>
              <w:left w:val="nil"/>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Belfast</w:t>
            </w:r>
          </w:p>
        </w:tc>
        <w:tc>
          <w:tcPr>
            <w:tcW w:w="1316" w:type="pct"/>
            <w:tcBorders>
              <w:top w:val="single" w:sz="4" w:space="0" w:color="95B3D7"/>
              <w:left w:val="nil"/>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Belfast PD</w:t>
            </w:r>
          </w:p>
        </w:tc>
        <w:tc>
          <w:tcPr>
            <w:tcW w:w="752" w:type="pct"/>
            <w:tcBorders>
              <w:top w:val="single" w:sz="4" w:space="0" w:color="95B3D7"/>
              <w:left w:val="nil"/>
              <w:bottom w:val="single" w:sz="4" w:space="0" w:color="auto"/>
              <w:right w:val="single" w:sz="4"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23</w:t>
            </w:r>
          </w:p>
        </w:tc>
        <w:tc>
          <w:tcPr>
            <w:tcW w:w="996" w:type="pct"/>
            <w:tcBorders>
              <w:top w:val="single" w:sz="4" w:space="0" w:color="95B3D7"/>
              <w:left w:val="nil"/>
              <w:bottom w:val="single" w:sz="4" w:space="0" w:color="auto"/>
              <w:right w:val="single" w:sz="8"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116</w:t>
            </w:r>
          </w:p>
        </w:tc>
      </w:tr>
      <w:tr w:rsidR="002701AA" w:rsidRPr="00466DF6" w:rsidTr="00663703">
        <w:trPr>
          <w:trHeight w:val="360"/>
        </w:trPr>
        <w:tc>
          <w:tcPr>
            <w:tcW w:w="840" w:type="pct"/>
            <w:tcBorders>
              <w:top w:val="single" w:sz="4" w:space="0" w:color="auto"/>
              <w:left w:val="single" w:sz="8"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Sweetser</w:t>
            </w:r>
          </w:p>
        </w:tc>
        <w:tc>
          <w:tcPr>
            <w:tcW w:w="1096" w:type="pct"/>
            <w:tcBorders>
              <w:top w:val="nil"/>
              <w:left w:val="single" w:sz="4"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Hampden</w:t>
            </w:r>
          </w:p>
        </w:tc>
        <w:tc>
          <w:tcPr>
            <w:tcW w:w="1316" w:type="pct"/>
            <w:tcBorders>
              <w:top w:val="nil"/>
              <w:left w:val="nil"/>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Hampden PD</w:t>
            </w:r>
          </w:p>
        </w:tc>
        <w:tc>
          <w:tcPr>
            <w:tcW w:w="752" w:type="pct"/>
            <w:tcBorders>
              <w:top w:val="nil"/>
              <w:left w:val="nil"/>
              <w:bottom w:val="single" w:sz="4" w:space="0" w:color="auto"/>
              <w:right w:val="single" w:sz="4"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8</w:t>
            </w:r>
          </w:p>
        </w:tc>
        <w:tc>
          <w:tcPr>
            <w:tcW w:w="996" w:type="pct"/>
            <w:tcBorders>
              <w:top w:val="nil"/>
              <w:left w:val="nil"/>
              <w:bottom w:val="single" w:sz="4" w:space="0" w:color="auto"/>
              <w:right w:val="single" w:sz="8"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72</w:t>
            </w:r>
          </w:p>
        </w:tc>
      </w:tr>
      <w:tr w:rsidR="002701AA" w:rsidRPr="00466DF6" w:rsidTr="00663703">
        <w:trPr>
          <w:trHeight w:val="360"/>
        </w:trPr>
        <w:tc>
          <w:tcPr>
            <w:tcW w:w="840" w:type="pct"/>
            <w:tcBorders>
              <w:top w:val="nil"/>
              <w:left w:val="single" w:sz="8"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Sweetser</w:t>
            </w:r>
          </w:p>
        </w:tc>
        <w:tc>
          <w:tcPr>
            <w:tcW w:w="1096" w:type="pct"/>
            <w:tcBorders>
              <w:top w:val="nil"/>
              <w:left w:val="single" w:sz="4"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Rockport</w:t>
            </w:r>
          </w:p>
        </w:tc>
        <w:tc>
          <w:tcPr>
            <w:tcW w:w="1316" w:type="pct"/>
            <w:tcBorders>
              <w:top w:val="nil"/>
              <w:left w:val="nil"/>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Rockport PD</w:t>
            </w:r>
          </w:p>
        </w:tc>
        <w:tc>
          <w:tcPr>
            <w:tcW w:w="752" w:type="pct"/>
            <w:tcBorders>
              <w:top w:val="nil"/>
              <w:left w:val="nil"/>
              <w:bottom w:val="single" w:sz="4" w:space="0" w:color="auto"/>
              <w:right w:val="single" w:sz="4"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8</w:t>
            </w:r>
          </w:p>
        </w:tc>
        <w:tc>
          <w:tcPr>
            <w:tcW w:w="996" w:type="pct"/>
            <w:tcBorders>
              <w:top w:val="nil"/>
              <w:left w:val="nil"/>
              <w:bottom w:val="single" w:sz="4" w:space="0" w:color="auto"/>
              <w:right w:val="single" w:sz="8"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26</w:t>
            </w:r>
          </w:p>
        </w:tc>
      </w:tr>
      <w:tr w:rsidR="002701AA" w:rsidRPr="00466DF6" w:rsidTr="00663703">
        <w:trPr>
          <w:trHeight w:val="360"/>
        </w:trPr>
        <w:tc>
          <w:tcPr>
            <w:tcW w:w="840" w:type="pct"/>
            <w:tcBorders>
              <w:top w:val="nil"/>
              <w:left w:val="single" w:sz="8"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Sweetser</w:t>
            </w:r>
          </w:p>
        </w:tc>
        <w:tc>
          <w:tcPr>
            <w:tcW w:w="1096" w:type="pct"/>
            <w:tcBorders>
              <w:top w:val="nil"/>
              <w:left w:val="single" w:sz="4" w:space="0" w:color="auto"/>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Saco</w:t>
            </w:r>
          </w:p>
        </w:tc>
        <w:tc>
          <w:tcPr>
            <w:tcW w:w="1316" w:type="pct"/>
            <w:tcBorders>
              <w:top w:val="nil"/>
              <w:left w:val="nil"/>
              <w:bottom w:val="single" w:sz="4" w:space="0" w:color="auto"/>
              <w:right w:val="single" w:sz="4" w:space="0" w:color="auto"/>
            </w:tcBorders>
            <w:shd w:val="clear" w:color="DCE6F1" w:fill="DCE6F1"/>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Saco PD</w:t>
            </w:r>
          </w:p>
        </w:tc>
        <w:tc>
          <w:tcPr>
            <w:tcW w:w="752" w:type="pct"/>
            <w:tcBorders>
              <w:top w:val="nil"/>
              <w:left w:val="nil"/>
              <w:bottom w:val="single" w:sz="4" w:space="0" w:color="auto"/>
              <w:right w:val="single" w:sz="4"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46</w:t>
            </w:r>
          </w:p>
        </w:tc>
        <w:tc>
          <w:tcPr>
            <w:tcW w:w="996" w:type="pct"/>
            <w:tcBorders>
              <w:top w:val="nil"/>
              <w:left w:val="nil"/>
              <w:bottom w:val="single" w:sz="4" w:space="0" w:color="auto"/>
              <w:right w:val="single" w:sz="8" w:space="0" w:color="auto"/>
            </w:tcBorders>
            <w:shd w:val="clear" w:color="DCE6F1" w:fill="DCE6F1"/>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265</w:t>
            </w:r>
          </w:p>
        </w:tc>
      </w:tr>
      <w:tr w:rsidR="002701AA" w:rsidRPr="00466DF6" w:rsidTr="00663703">
        <w:trPr>
          <w:trHeight w:val="360"/>
        </w:trPr>
        <w:tc>
          <w:tcPr>
            <w:tcW w:w="840" w:type="pct"/>
            <w:tcBorders>
              <w:top w:val="nil"/>
              <w:left w:val="single" w:sz="8"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Sweetser</w:t>
            </w:r>
          </w:p>
        </w:tc>
        <w:tc>
          <w:tcPr>
            <w:tcW w:w="1096" w:type="pct"/>
            <w:tcBorders>
              <w:top w:val="nil"/>
              <w:left w:val="single" w:sz="4"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Winterport</w:t>
            </w:r>
          </w:p>
        </w:tc>
        <w:tc>
          <w:tcPr>
            <w:tcW w:w="1316" w:type="pct"/>
            <w:tcBorders>
              <w:top w:val="nil"/>
              <w:left w:val="nil"/>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Waldo SO &amp; MSP</w:t>
            </w:r>
          </w:p>
        </w:tc>
        <w:tc>
          <w:tcPr>
            <w:tcW w:w="752" w:type="pct"/>
            <w:tcBorders>
              <w:top w:val="nil"/>
              <w:left w:val="nil"/>
              <w:bottom w:val="single" w:sz="4" w:space="0" w:color="auto"/>
              <w:right w:val="single" w:sz="4"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8</w:t>
            </w:r>
          </w:p>
        </w:tc>
        <w:tc>
          <w:tcPr>
            <w:tcW w:w="996" w:type="pct"/>
            <w:tcBorders>
              <w:top w:val="nil"/>
              <w:left w:val="nil"/>
              <w:bottom w:val="single" w:sz="4" w:space="0" w:color="auto"/>
              <w:right w:val="single" w:sz="8"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44</w:t>
            </w:r>
          </w:p>
        </w:tc>
      </w:tr>
      <w:tr w:rsidR="002701AA" w:rsidRPr="00466DF6" w:rsidTr="00663703">
        <w:trPr>
          <w:trHeight w:val="288"/>
        </w:trPr>
        <w:tc>
          <w:tcPr>
            <w:tcW w:w="840" w:type="pct"/>
            <w:tcBorders>
              <w:top w:val="single" w:sz="4" w:space="0" w:color="auto"/>
              <w:left w:val="single" w:sz="8" w:space="0" w:color="auto"/>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 </w:t>
            </w:r>
          </w:p>
        </w:tc>
        <w:tc>
          <w:tcPr>
            <w:tcW w:w="1096" w:type="pct"/>
            <w:tcBorders>
              <w:top w:val="single" w:sz="4" w:space="0" w:color="auto"/>
              <w:left w:val="nil"/>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1316" w:type="pct"/>
            <w:tcBorders>
              <w:top w:val="single" w:sz="4" w:space="0" w:color="auto"/>
              <w:left w:val="nil"/>
              <w:bottom w:val="single" w:sz="4" w:space="0" w:color="auto"/>
              <w:right w:val="nil"/>
            </w:tcBorders>
            <w:shd w:val="clear" w:color="000000" w:fill="F2F2F2"/>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752" w:type="pct"/>
            <w:tcBorders>
              <w:top w:val="single" w:sz="4" w:space="0" w:color="auto"/>
              <w:left w:val="nil"/>
              <w:bottom w:val="single" w:sz="4" w:space="0" w:color="auto"/>
              <w:right w:val="nil"/>
            </w:tcBorders>
            <w:shd w:val="clear" w:color="000000" w:fill="F2F2F2"/>
            <w:noWrap/>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c>
          <w:tcPr>
            <w:tcW w:w="996" w:type="pct"/>
            <w:tcBorders>
              <w:top w:val="single" w:sz="4" w:space="0" w:color="auto"/>
              <w:left w:val="nil"/>
              <w:bottom w:val="single" w:sz="4" w:space="0" w:color="auto"/>
              <w:right w:val="single" w:sz="8" w:space="0" w:color="auto"/>
            </w:tcBorders>
            <w:shd w:val="clear" w:color="000000" w:fill="F2F2F2"/>
            <w:noWrap/>
            <w:vAlign w:val="bottom"/>
            <w:hideMark/>
          </w:tcPr>
          <w:p w:rsidR="002701AA" w:rsidRPr="00663703" w:rsidRDefault="002701AA" w:rsidP="002701AA">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 </w:t>
            </w:r>
          </w:p>
        </w:tc>
      </w:tr>
      <w:tr w:rsidR="002701AA" w:rsidRPr="00466DF6" w:rsidTr="00663703">
        <w:trPr>
          <w:trHeight w:val="360"/>
        </w:trPr>
        <w:tc>
          <w:tcPr>
            <w:tcW w:w="840"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b/>
                <w:bCs/>
                <w:color w:val="000000"/>
                <w:sz w:val="24"/>
                <w:szCs w:val="24"/>
              </w:rPr>
            </w:pPr>
            <w:r w:rsidRPr="00663703">
              <w:rPr>
                <w:rFonts w:ascii="Calibri" w:eastAsia="Times New Roman" w:hAnsi="Calibri" w:cs="Times New Roman"/>
                <w:b/>
                <w:bCs/>
                <w:color w:val="000000"/>
                <w:sz w:val="24"/>
                <w:szCs w:val="24"/>
              </w:rPr>
              <w:t>The Northern Lighthouse</w:t>
            </w:r>
          </w:p>
        </w:tc>
        <w:tc>
          <w:tcPr>
            <w:tcW w:w="1096" w:type="pct"/>
            <w:tcBorders>
              <w:top w:val="nil"/>
              <w:left w:val="single" w:sz="4" w:space="0" w:color="auto"/>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The Northern Lighthouse Residential</w:t>
            </w:r>
          </w:p>
        </w:tc>
        <w:tc>
          <w:tcPr>
            <w:tcW w:w="1316" w:type="pct"/>
            <w:tcBorders>
              <w:top w:val="nil"/>
              <w:left w:val="nil"/>
              <w:bottom w:val="single" w:sz="4" w:space="0" w:color="auto"/>
              <w:right w:val="single" w:sz="4" w:space="0" w:color="auto"/>
            </w:tcBorders>
            <w:shd w:val="clear" w:color="auto" w:fill="auto"/>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Aroostook SO &amp; MSP</w:t>
            </w:r>
          </w:p>
        </w:tc>
        <w:tc>
          <w:tcPr>
            <w:tcW w:w="752" w:type="pct"/>
            <w:tcBorders>
              <w:top w:val="nil"/>
              <w:left w:val="nil"/>
              <w:bottom w:val="single" w:sz="4" w:space="0" w:color="auto"/>
              <w:right w:val="single" w:sz="4"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6</w:t>
            </w:r>
          </w:p>
        </w:tc>
        <w:tc>
          <w:tcPr>
            <w:tcW w:w="996" w:type="pct"/>
            <w:tcBorders>
              <w:top w:val="single" w:sz="4" w:space="0" w:color="auto"/>
              <w:left w:val="nil"/>
              <w:bottom w:val="single" w:sz="4" w:space="0" w:color="auto"/>
              <w:right w:val="single" w:sz="8" w:space="0" w:color="auto"/>
            </w:tcBorders>
            <w:shd w:val="clear" w:color="auto" w:fill="auto"/>
            <w:noWrap/>
            <w:vAlign w:val="bottom"/>
            <w:hideMark/>
          </w:tcPr>
          <w:p w:rsidR="002701AA" w:rsidRPr="00663703" w:rsidRDefault="002701AA" w:rsidP="00466DF6">
            <w:pPr>
              <w:spacing w:after="0" w:line="240" w:lineRule="auto"/>
              <w:jc w:val="center"/>
              <w:rPr>
                <w:rFonts w:ascii="Calibri" w:eastAsia="Times New Roman" w:hAnsi="Calibri" w:cs="Times New Roman"/>
                <w:color w:val="000000"/>
                <w:sz w:val="24"/>
                <w:szCs w:val="24"/>
              </w:rPr>
            </w:pPr>
            <w:r w:rsidRPr="00663703">
              <w:rPr>
                <w:rFonts w:ascii="Calibri" w:eastAsia="Times New Roman" w:hAnsi="Calibri" w:cs="Times New Roman"/>
                <w:color w:val="000000"/>
                <w:sz w:val="24"/>
                <w:szCs w:val="24"/>
              </w:rPr>
              <w:t>3</w:t>
            </w:r>
          </w:p>
        </w:tc>
      </w:tr>
    </w:tbl>
    <w:p w:rsidR="00896D10" w:rsidRDefault="00125DF4" w:rsidP="000C3590">
      <w:pPr>
        <w:pStyle w:val="NoSpacing"/>
        <w:rPr>
          <w:sz w:val="28"/>
        </w:rPr>
      </w:pPr>
      <w:r>
        <w:rPr>
          <w:sz w:val="28"/>
        </w:rPr>
        <w:lastRenderedPageBreak/>
        <w:t>As illustrated above, t</w:t>
      </w:r>
      <w:r w:rsidR="00CA0D00">
        <w:rPr>
          <w:sz w:val="28"/>
        </w:rPr>
        <w:t xml:space="preserve">here </w:t>
      </w:r>
      <w:r w:rsidR="00FB10FC">
        <w:rPr>
          <w:sz w:val="28"/>
        </w:rPr>
        <w:t>wa</w:t>
      </w:r>
      <w:r w:rsidR="00CA0D00">
        <w:rPr>
          <w:sz w:val="28"/>
        </w:rPr>
        <w:t xml:space="preserve">s </w:t>
      </w:r>
      <w:r w:rsidR="00FB10FC">
        <w:rPr>
          <w:sz w:val="28"/>
        </w:rPr>
        <w:t xml:space="preserve">significant </w:t>
      </w:r>
      <w:r w:rsidR="00CA0D00">
        <w:rPr>
          <w:sz w:val="28"/>
        </w:rPr>
        <w:t>variability in the rate of calls from provider to provider, and also variability among each provider’s individual programs</w:t>
      </w:r>
      <w:r w:rsidR="00F837C4">
        <w:rPr>
          <w:sz w:val="28"/>
        </w:rPr>
        <w:t xml:space="preserve">.  </w:t>
      </w:r>
      <w:r w:rsidR="00145CA3" w:rsidRPr="00145CA3">
        <w:rPr>
          <w:sz w:val="28"/>
        </w:rPr>
        <w:t>More input is needed from residential providers as to what specific challenges they face, and what factors may be influencing the variability in their calls to law enforcement</w:t>
      </w:r>
      <w:r w:rsidR="00F837C4" w:rsidRPr="00145CA3">
        <w:rPr>
          <w:sz w:val="28"/>
        </w:rPr>
        <w:t xml:space="preserve">.  </w:t>
      </w:r>
      <w:r w:rsidR="009F2BCA">
        <w:rPr>
          <w:sz w:val="28"/>
        </w:rPr>
        <w:t>Potential factors</w:t>
      </w:r>
      <w:r w:rsidR="009271EC">
        <w:rPr>
          <w:sz w:val="28"/>
        </w:rPr>
        <w:t xml:space="preserve"> </w:t>
      </w:r>
      <w:r w:rsidR="009F2BCA">
        <w:rPr>
          <w:sz w:val="28"/>
        </w:rPr>
        <w:t xml:space="preserve">may include setting (rural versus urban), characteristics of client population, treatment approaches, </w:t>
      </w:r>
      <w:r w:rsidR="0083598C">
        <w:rPr>
          <w:sz w:val="28"/>
        </w:rPr>
        <w:t>access to mobile crisis services, and others</w:t>
      </w:r>
      <w:r w:rsidR="00F837C4">
        <w:rPr>
          <w:sz w:val="28"/>
        </w:rPr>
        <w:t xml:space="preserve">.  </w:t>
      </w:r>
      <w:r w:rsidR="00F126F8">
        <w:rPr>
          <w:sz w:val="28"/>
        </w:rPr>
        <w:t>This report is intended to highlight the information currently available, and provide a starting point for further discussion, information-sharing, analysis, and ultimately collaborative problem solving.</w:t>
      </w:r>
    </w:p>
    <w:p w:rsidR="00896D10" w:rsidRDefault="00896D10" w:rsidP="000C3590">
      <w:pPr>
        <w:pStyle w:val="NoSpacing"/>
        <w:rPr>
          <w:sz w:val="28"/>
        </w:rPr>
      </w:pPr>
    </w:p>
    <w:p w:rsidR="009F2BCA" w:rsidRDefault="00287A2D" w:rsidP="000C3590">
      <w:pPr>
        <w:pStyle w:val="NoSpacing"/>
        <w:rPr>
          <w:sz w:val="28"/>
        </w:rPr>
      </w:pPr>
      <w:r>
        <w:rPr>
          <w:sz w:val="28"/>
        </w:rPr>
        <w:t>Although DRM believes the data contained herein highlights opportunities for improvement, it is important to note that residential providers are not only essential to the care of Maine’s most vulnerable youth, but have great expertise in that field</w:t>
      </w:r>
      <w:r w:rsidR="00F837C4">
        <w:rPr>
          <w:sz w:val="28"/>
        </w:rPr>
        <w:t xml:space="preserve">.  </w:t>
      </w:r>
      <w:r>
        <w:rPr>
          <w:sz w:val="28"/>
        </w:rPr>
        <w:t>This expertise will be needed in the process of strengthening the existing system.</w:t>
      </w:r>
    </w:p>
    <w:p w:rsidR="00C929B0" w:rsidRDefault="00C929B0" w:rsidP="004C7C01"/>
    <w:p w:rsidR="004C7C01" w:rsidRDefault="004C7C01">
      <w:pPr>
        <w:rPr>
          <w:rFonts w:asciiTheme="majorHAnsi" w:eastAsiaTheme="majorEastAsia" w:hAnsiTheme="majorHAnsi" w:cstheme="majorBidi"/>
          <w:color w:val="17365D" w:themeColor="text2" w:themeShade="BF"/>
          <w:spacing w:val="5"/>
          <w:kern w:val="28"/>
          <w:sz w:val="52"/>
          <w:szCs w:val="52"/>
        </w:rPr>
      </w:pPr>
      <w:r>
        <w:br w:type="page"/>
      </w:r>
    </w:p>
    <w:p w:rsidR="00E07EDE" w:rsidRPr="00663703" w:rsidRDefault="00E07EDE" w:rsidP="00663703">
      <w:pPr>
        <w:pStyle w:val="Heading1"/>
      </w:pPr>
      <w:bookmarkStart w:id="5" w:name="_Toc489971862"/>
      <w:r w:rsidRPr="00663703">
        <w:lastRenderedPageBreak/>
        <w:t>Reporting Rates of Law Enforcement Calls to DHHS</w:t>
      </w:r>
      <w:bookmarkEnd w:id="5"/>
    </w:p>
    <w:p w:rsidR="00E07EDE" w:rsidRDefault="00E07EDE" w:rsidP="00E07EDE">
      <w:pPr>
        <w:pStyle w:val="NoSpacing"/>
        <w:rPr>
          <w:sz w:val="28"/>
        </w:rPr>
      </w:pPr>
      <w:r w:rsidRPr="00E07EDE">
        <w:rPr>
          <w:sz w:val="28"/>
        </w:rPr>
        <w:t>DRM cross</w:t>
      </w:r>
      <w:r w:rsidR="007C6979">
        <w:rPr>
          <w:sz w:val="28"/>
        </w:rPr>
        <w:t>-</w:t>
      </w:r>
      <w:r w:rsidRPr="00E07EDE">
        <w:rPr>
          <w:sz w:val="28"/>
        </w:rPr>
        <w:t>referenced the data received from law enforcement with Reportable Events obtained from DHHS</w:t>
      </w:r>
      <w:r w:rsidR="00E72266">
        <w:rPr>
          <w:sz w:val="28"/>
        </w:rPr>
        <w:t>,</w:t>
      </w:r>
      <w:r w:rsidRPr="00E07EDE">
        <w:rPr>
          <w:sz w:val="28"/>
        </w:rPr>
        <w:t xml:space="preserve"> and</w:t>
      </w:r>
      <w:r w:rsidR="00413D12">
        <w:rPr>
          <w:sz w:val="28"/>
        </w:rPr>
        <w:t xml:space="preserve"> concluded that the majority (59</w:t>
      </w:r>
      <w:r w:rsidRPr="00E07EDE">
        <w:rPr>
          <w:sz w:val="28"/>
        </w:rPr>
        <w:t>%) of law enforcement calls did not have a corresponding Reportable Event to DHHS.</w:t>
      </w:r>
    </w:p>
    <w:p w:rsidR="00125DF4" w:rsidRDefault="00125DF4" w:rsidP="00E07EDE">
      <w:pPr>
        <w:pStyle w:val="NoSpacing"/>
        <w:rPr>
          <w:b/>
          <w:bCs/>
          <w:sz w:val="28"/>
        </w:rPr>
      </w:pPr>
    </w:p>
    <w:p w:rsidR="00E07EDE" w:rsidRPr="00125DF4" w:rsidRDefault="00E07EDE" w:rsidP="00E07EDE">
      <w:pPr>
        <w:pStyle w:val="NoSpacing"/>
        <w:rPr>
          <w:b/>
          <w:bCs/>
          <w:sz w:val="28"/>
        </w:rPr>
      </w:pPr>
      <w:r w:rsidRPr="00E07EDE">
        <w:rPr>
          <w:b/>
          <w:bCs/>
          <w:sz w:val="28"/>
        </w:rPr>
        <w:t>Figure 4</w:t>
      </w:r>
    </w:p>
    <w:p w:rsidR="00D86BE4" w:rsidRDefault="00ED7376" w:rsidP="00125DF4">
      <w:pPr>
        <w:pStyle w:val="NoSpacing"/>
        <w:rPr>
          <w:sz w:val="28"/>
        </w:rPr>
      </w:pPr>
      <w:r>
        <w:rPr>
          <w:noProof/>
        </w:rPr>
        <w:drawing>
          <wp:inline distT="0" distB="0" distL="0" distR="0" wp14:anchorId="73987528" wp14:editId="3AD36D74">
            <wp:extent cx="4572000" cy="3726180"/>
            <wp:effectExtent l="0" t="0" r="0" b="7620"/>
            <wp:docPr id="1" name="Chart 1" descr="Pie Chart:&#10;&#10;Failed to Report to DHHS - 59%&#10;Reported to DHHS - 41%" title="Residential Provider Reporting Rate for Calls to Law Enforce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6BE4" w:rsidRDefault="00D86BE4" w:rsidP="00C929B0">
      <w:pPr>
        <w:pStyle w:val="NoSpacing"/>
        <w:ind w:right="720"/>
        <w:rPr>
          <w:sz w:val="28"/>
        </w:rPr>
      </w:pPr>
    </w:p>
    <w:p w:rsidR="00552B71" w:rsidRDefault="00552B71" w:rsidP="00FE0C24">
      <w:pPr>
        <w:pStyle w:val="NoSpacing"/>
        <w:ind w:right="720"/>
        <w:rPr>
          <w:sz w:val="28"/>
        </w:rPr>
      </w:pPr>
      <w:r>
        <w:rPr>
          <w:sz w:val="28"/>
        </w:rPr>
        <w:t>It is important to note one potential limitation with the data in this context.  In working to link specific law enforcement records to specific reportable events, DRM was unable to connect 483 of the 815 individual law enforcement records to a reportable event to DHHS.  This is how DRM calculated a failure to report rate of 59% state-wide.  However, there were also 183 reportable events that DRM was unable to link to specific law enforcement records.  For this report, we have excluded these</w:t>
      </w:r>
      <w:r w:rsidR="002770C2">
        <w:rPr>
          <w:sz w:val="28"/>
        </w:rPr>
        <w:t xml:space="preserve"> “extra” reportable events</w:t>
      </w:r>
      <w:r>
        <w:rPr>
          <w:sz w:val="28"/>
        </w:rPr>
        <w:t xml:space="preserve"> from the analysis, even though it indicates that the total calls to law enforcement were likely higher than DRM has reported.  But for </w:t>
      </w:r>
      <w:r>
        <w:rPr>
          <w:sz w:val="28"/>
        </w:rPr>
        <w:lastRenderedPageBreak/>
        <w:t>purposes of this discussion, even assuming that all of these “extra” reportable events corresponded to a specific law enforcement record, the failure to report rate state-wide would be 37%.</w:t>
      </w:r>
    </w:p>
    <w:p w:rsidR="0077541C" w:rsidRDefault="0077541C" w:rsidP="00FE0C24">
      <w:pPr>
        <w:pStyle w:val="NoSpacing"/>
        <w:ind w:right="720"/>
        <w:rPr>
          <w:sz w:val="28"/>
        </w:rPr>
      </w:pPr>
    </w:p>
    <w:p w:rsidR="002701AA" w:rsidRDefault="002770C2" w:rsidP="002701AA">
      <w:pPr>
        <w:pStyle w:val="NoSpacing"/>
        <w:ind w:right="720"/>
        <w:rPr>
          <w:sz w:val="28"/>
        </w:rPr>
      </w:pPr>
      <w:r>
        <w:rPr>
          <w:sz w:val="28"/>
        </w:rPr>
        <w:t>Whether the rate is 59%, or 37%, or somewhere in between, t</w:t>
      </w:r>
      <w:r w:rsidR="008A2611">
        <w:rPr>
          <w:sz w:val="28"/>
        </w:rPr>
        <w:t xml:space="preserve">he </w:t>
      </w:r>
      <w:r w:rsidR="00482281">
        <w:rPr>
          <w:sz w:val="28"/>
        </w:rPr>
        <w:t xml:space="preserve">failure of </w:t>
      </w:r>
      <w:r w:rsidR="00040F16">
        <w:rPr>
          <w:sz w:val="28"/>
        </w:rPr>
        <w:t xml:space="preserve">residential providers to </w:t>
      </w:r>
      <w:r w:rsidR="00482281">
        <w:rPr>
          <w:sz w:val="28"/>
        </w:rPr>
        <w:t xml:space="preserve">accurately report to DHHS </w:t>
      </w:r>
      <w:r w:rsidR="00040F16">
        <w:rPr>
          <w:sz w:val="28"/>
        </w:rPr>
        <w:t>the</w:t>
      </w:r>
      <w:r w:rsidR="00482281">
        <w:rPr>
          <w:sz w:val="28"/>
        </w:rPr>
        <w:t>ir</w:t>
      </w:r>
      <w:r w:rsidR="00040F16">
        <w:rPr>
          <w:sz w:val="28"/>
        </w:rPr>
        <w:t xml:space="preserve"> use of law enforcement is </w:t>
      </w:r>
      <w:r w:rsidR="005C1B7C">
        <w:rPr>
          <w:sz w:val="28"/>
        </w:rPr>
        <w:t>problematic</w:t>
      </w:r>
      <w:r w:rsidR="00F837C4">
        <w:rPr>
          <w:sz w:val="28"/>
        </w:rPr>
        <w:t xml:space="preserve">.  </w:t>
      </w:r>
      <w:r w:rsidR="008A2611">
        <w:rPr>
          <w:sz w:val="28"/>
        </w:rPr>
        <w:t>By contract, DHHS has an oversight role with regard to the services delivered to youth</w:t>
      </w:r>
      <w:r w:rsidR="00D23CD4">
        <w:rPr>
          <w:sz w:val="28"/>
        </w:rPr>
        <w:t xml:space="preserve"> in residential facilities</w:t>
      </w:r>
      <w:r w:rsidR="00F837C4">
        <w:rPr>
          <w:sz w:val="28"/>
        </w:rPr>
        <w:t xml:space="preserve">.  </w:t>
      </w:r>
      <w:r w:rsidR="008A2611">
        <w:rPr>
          <w:sz w:val="28"/>
        </w:rPr>
        <w:t>The function of the Reportable Event system is to notify DHHS of pre-designated types of incidents that require follow up and may necessitate technical assistance</w:t>
      </w:r>
      <w:r w:rsidR="00F837C4">
        <w:rPr>
          <w:sz w:val="28"/>
        </w:rPr>
        <w:t xml:space="preserve">.  </w:t>
      </w:r>
      <w:r w:rsidR="00FE36EE">
        <w:rPr>
          <w:sz w:val="28"/>
        </w:rPr>
        <w:t>This is an</w:t>
      </w:r>
      <w:r w:rsidR="00242335">
        <w:rPr>
          <w:sz w:val="28"/>
        </w:rPr>
        <w:t xml:space="preserve"> accountability measure, and also allows DHHS to collect data that can then be used to identify areas of improvement that are needed within the system</w:t>
      </w:r>
      <w:r w:rsidR="00F837C4">
        <w:rPr>
          <w:sz w:val="28"/>
        </w:rPr>
        <w:t xml:space="preserve">.  </w:t>
      </w:r>
      <w:r w:rsidR="00242335">
        <w:rPr>
          <w:sz w:val="28"/>
        </w:rPr>
        <w:t>Without that data, effective reforms become more unlikely.</w:t>
      </w:r>
    </w:p>
    <w:p w:rsidR="002701AA" w:rsidRDefault="002701AA">
      <w:pPr>
        <w:rPr>
          <w:sz w:val="28"/>
        </w:rPr>
      </w:pPr>
      <w:r>
        <w:rPr>
          <w:sz w:val="28"/>
        </w:rPr>
        <w:br w:type="page"/>
      </w:r>
    </w:p>
    <w:p w:rsidR="003364F1" w:rsidRPr="00FE0C24" w:rsidRDefault="003364F1" w:rsidP="002701AA">
      <w:pPr>
        <w:pStyle w:val="Heading1"/>
        <w:rPr>
          <w:sz w:val="28"/>
        </w:rPr>
      </w:pPr>
      <w:bookmarkStart w:id="6" w:name="_Toc489971863"/>
      <w:r>
        <w:lastRenderedPageBreak/>
        <w:t>Recommendations</w:t>
      </w:r>
      <w:bookmarkEnd w:id="6"/>
    </w:p>
    <w:p w:rsidR="00441736" w:rsidRDefault="00441736" w:rsidP="003364F1">
      <w:pPr>
        <w:pStyle w:val="NoSpacing"/>
        <w:rPr>
          <w:sz w:val="28"/>
        </w:rPr>
      </w:pPr>
      <w:r>
        <w:rPr>
          <w:sz w:val="28"/>
        </w:rPr>
        <w:t xml:space="preserve">The conversation about the issues touched upon here – namely, the failure of the </w:t>
      </w:r>
      <w:r w:rsidR="00C22368">
        <w:rPr>
          <w:sz w:val="28"/>
        </w:rPr>
        <w:t>behavioral</w:t>
      </w:r>
      <w:r>
        <w:rPr>
          <w:sz w:val="28"/>
        </w:rPr>
        <w:t xml:space="preserve"> health system to appropriately and effectively treat all youth with disabilities, leading to over-reliance on law enforcement</w:t>
      </w:r>
      <w:r w:rsidR="007F4D06">
        <w:rPr>
          <w:sz w:val="28"/>
        </w:rPr>
        <w:t xml:space="preserve"> and the juvenile correctional system</w:t>
      </w:r>
      <w:r>
        <w:rPr>
          <w:sz w:val="28"/>
        </w:rPr>
        <w:t xml:space="preserve"> – has been ongoing in Maine for some time</w:t>
      </w:r>
      <w:r w:rsidR="00F837C4">
        <w:rPr>
          <w:sz w:val="28"/>
        </w:rPr>
        <w:t xml:space="preserve">.  </w:t>
      </w:r>
      <w:r>
        <w:rPr>
          <w:sz w:val="28"/>
        </w:rPr>
        <w:t>DRM has received calls from DOC personnel at Long Creek and within the JCCO</w:t>
      </w:r>
      <w:r>
        <w:rPr>
          <w:rStyle w:val="FootnoteReference"/>
          <w:sz w:val="28"/>
        </w:rPr>
        <w:footnoteReference w:id="19"/>
      </w:r>
      <w:r>
        <w:rPr>
          <w:sz w:val="28"/>
        </w:rPr>
        <w:t xml:space="preserve"> system, </w:t>
      </w:r>
      <w:r w:rsidR="009A53DA">
        <w:rPr>
          <w:sz w:val="28"/>
        </w:rPr>
        <w:t xml:space="preserve">raising concerns about the prevalence of youth with disabilities who are </w:t>
      </w:r>
      <w:proofErr w:type="spellStart"/>
      <w:r w:rsidR="009A53DA">
        <w:rPr>
          <w:sz w:val="28"/>
        </w:rPr>
        <w:t>correctionally</w:t>
      </w:r>
      <w:proofErr w:type="spellEnd"/>
      <w:r w:rsidR="009A53DA">
        <w:rPr>
          <w:sz w:val="28"/>
        </w:rPr>
        <w:t xml:space="preserve"> involved</w:t>
      </w:r>
      <w:r w:rsidR="00F837C4">
        <w:rPr>
          <w:sz w:val="28"/>
        </w:rPr>
        <w:t xml:space="preserve">.  </w:t>
      </w:r>
      <w:r w:rsidR="001C4063">
        <w:rPr>
          <w:sz w:val="28"/>
        </w:rPr>
        <w:t xml:space="preserve">This issue has been </w:t>
      </w:r>
      <w:r w:rsidR="000B035C">
        <w:rPr>
          <w:sz w:val="28"/>
        </w:rPr>
        <w:t>discussed</w:t>
      </w:r>
      <w:r w:rsidR="001C4063">
        <w:rPr>
          <w:sz w:val="28"/>
        </w:rPr>
        <w:t xml:space="preserve"> with stakeholders, including DHHS, residential providers, advocates, youth, and families</w:t>
      </w:r>
      <w:r w:rsidR="00F837C4">
        <w:rPr>
          <w:sz w:val="28"/>
        </w:rPr>
        <w:t xml:space="preserve">.  </w:t>
      </w:r>
      <w:r w:rsidR="001C4063">
        <w:rPr>
          <w:sz w:val="28"/>
        </w:rPr>
        <w:t xml:space="preserve">Although </w:t>
      </w:r>
      <w:r>
        <w:rPr>
          <w:sz w:val="28"/>
        </w:rPr>
        <w:t xml:space="preserve">DRM is the first to gather the statewide data included in this report, </w:t>
      </w:r>
      <w:r w:rsidR="00D23CD4">
        <w:rPr>
          <w:sz w:val="28"/>
        </w:rPr>
        <w:t>this</w:t>
      </w:r>
      <w:r w:rsidR="001C4063">
        <w:rPr>
          <w:sz w:val="28"/>
        </w:rPr>
        <w:t xml:space="preserve"> is the continuation of an ongoing effort to address this persistent issue.</w:t>
      </w:r>
    </w:p>
    <w:p w:rsidR="00441736" w:rsidRDefault="00441736" w:rsidP="003364F1">
      <w:pPr>
        <w:pStyle w:val="NoSpacing"/>
        <w:rPr>
          <w:sz w:val="28"/>
        </w:rPr>
      </w:pPr>
    </w:p>
    <w:p w:rsidR="004D119E" w:rsidRDefault="00572D7D" w:rsidP="003364F1">
      <w:pPr>
        <w:pStyle w:val="NoSpacing"/>
        <w:rPr>
          <w:sz w:val="28"/>
        </w:rPr>
      </w:pPr>
      <w:r>
        <w:rPr>
          <w:sz w:val="28"/>
        </w:rPr>
        <w:t xml:space="preserve">There are some efforts </w:t>
      </w:r>
      <w:r w:rsidR="0075635B">
        <w:rPr>
          <w:sz w:val="28"/>
        </w:rPr>
        <w:t>already underway</w:t>
      </w:r>
      <w:r>
        <w:rPr>
          <w:sz w:val="28"/>
        </w:rPr>
        <w:t xml:space="preserve"> to begin addressing these i</w:t>
      </w:r>
      <w:r w:rsidR="00B63C42">
        <w:rPr>
          <w:sz w:val="28"/>
        </w:rPr>
        <w:t>ssues</w:t>
      </w:r>
      <w:r w:rsidR="00F837C4">
        <w:rPr>
          <w:sz w:val="28"/>
        </w:rPr>
        <w:t xml:space="preserve">.  </w:t>
      </w:r>
      <w:r w:rsidR="00293FD9">
        <w:rPr>
          <w:sz w:val="28"/>
        </w:rPr>
        <w:t>For instance, i</w:t>
      </w:r>
      <w:r w:rsidR="0075635B">
        <w:rPr>
          <w:sz w:val="28"/>
        </w:rPr>
        <w:t xml:space="preserve">n Belfast, </w:t>
      </w:r>
      <w:r w:rsidR="004C518A">
        <w:rPr>
          <w:sz w:val="28"/>
        </w:rPr>
        <w:t>t</w:t>
      </w:r>
      <w:r w:rsidR="004D119E">
        <w:rPr>
          <w:sz w:val="28"/>
        </w:rPr>
        <w:t>he DOC and Sweetser</w:t>
      </w:r>
      <w:r>
        <w:rPr>
          <w:sz w:val="28"/>
        </w:rPr>
        <w:t xml:space="preserve"> brought key stakeholders together to begin reviewing data and the issues that</w:t>
      </w:r>
      <w:r w:rsidR="00DD41C4">
        <w:rPr>
          <w:sz w:val="28"/>
        </w:rPr>
        <w:t xml:space="preserve"> often</w:t>
      </w:r>
      <w:r>
        <w:rPr>
          <w:sz w:val="28"/>
        </w:rPr>
        <w:t xml:space="preserve"> lead to law enforcement calls for youth within </w:t>
      </w:r>
      <w:r w:rsidR="00D23CD4">
        <w:rPr>
          <w:sz w:val="28"/>
        </w:rPr>
        <w:t xml:space="preserve">the residential </w:t>
      </w:r>
      <w:r>
        <w:rPr>
          <w:sz w:val="28"/>
        </w:rPr>
        <w:t>program</w:t>
      </w:r>
      <w:r w:rsidR="00F837C4">
        <w:rPr>
          <w:sz w:val="28"/>
        </w:rPr>
        <w:t xml:space="preserve">.  </w:t>
      </w:r>
      <w:r w:rsidR="00247DC6">
        <w:rPr>
          <w:sz w:val="28"/>
        </w:rPr>
        <w:t>DRM</w:t>
      </w:r>
      <w:r w:rsidR="003B38AD">
        <w:rPr>
          <w:sz w:val="28"/>
        </w:rPr>
        <w:t xml:space="preserve"> commend</w:t>
      </w:r>
      <w:r w:rsidR="00247DC6">
        <w:rPr>
          <w:sz w:val="28"/>
        </w:rPr>
        <w:t>s</w:t>
      </w:r>
      <w:r w:rsidR="003B38AD">
        <w:rPr>
          <w:sz w:val="28"/>
        </w:rPr>
        <w:t xml:space="preserve"> DOC and Sweetser’s efforts</w:t>
      </w:r>
      <w:r w:rsidR="00B63C42">
        <w:rPr>
          <w:sz w:val="28"/>
        </w:rPr>
        <w:t xml:space="preserve"> in this region,</w:t>
      </w:r>
      <w:r w:rsidR="003B38AD">
        <w:rPr>
          <w:sz w:val="28"/>
        </w:rPr>
        <w:t xml:space="preserve"> and </w:t>
      </w:r>
      <w:r w:rsidR="00247DC6">
        <w:rPr>
          <w:sz w:val="28"/>
        </w:rPr>
        <w:t>recommend</w:t>
      </w:r>
      <w:r w:rsidR="00961A0F">
        <w:rPr>
          <w:sz w:val="28"/>
        </w:rPr>
        <w:t>s</w:t>
      </w:r>
      <w:r w:rsidR="00247DC6">
        <w:rPr>
          <w:sz w:val="28"/>
        </w:rPr>
        <w:t xml:space="preserve"> the replication of that model in other parts of the state.</w:t>
      </w:r>
      <w:r w:rsidR="003F6E6E">
        <w:rPr>
          <w:rStyle w:val="FootnoteReference"/>
          <w:sz w:val="28"/>
        </w:rPr>
        <w:footnoteReference w:id="20"/>
      </w:r>
      <w:r w:rsidR="007D6508">
        <w:rPr>
          <w:sz w:val="28"/>
        </w:rPr>
        <w:t xml:space="preserve">  </w:t>
      </w:r>
      <w:r w:rsidR="00247DC6">
        <w:rPr>
          <w:sz w:val="28"/>
        </w:rPr>
        <w:t xml:space="preserve">DRM </w:t>
      </w:r>
      <w:r w:rsidR="003B38AD">
        <w:rPr>
          <w:sz w:val="28"/>
        </w:rPr>
        <w:t>offer</w:t>
      </w:r>
      <w:r w:rsidR="00247DC6">
        <w:rPr>
          <w:sz w:val="28"/>
        </w:rPr>
        <w:t>s</w:t>
      </w:r>
      <w:r w:rsidR="003B38AD">
        <w:rPr>
          <w:sz w:val="28"/>
        </w:rPr>
        <w:t xml:space="preserve"> the following additional </w:t>
      </w:r>
      <w:r w:rsidR="004D119E">
        <w:rPr>
          <w:sz w:val="28"/>
        </w:rPr>
        <w:t>recommendations:</w:t>
      </w:r>
    </w:p>
    <w:p w:rsidR="007D6508" w:rsidRDefault="007D6508" w:rsidP="007D6508">
      <w:pPr>
        <w:pStyle w:val="NoSpacing"/>
        <w:ind w:left="720"/>
        <w:rPr>
          <w:sz w:val="28"/>
        </w:rPr>
      </w:pPr>
    </w:p>
    <w:p w:rsidR="003364F1" w:rsidRDefault="00601416" w:rsidP="004D119E">
      <w:pPr>
        <w:pStyle w:val="NoSpacing"/>
        <w:numPr>
          <w:ilvl w:val="0"/>
          <w:numId w:val="4"/>
        </w:numPr>
        <w:rPr>
          <w:sz w:val="28"/>
        </w:rPr>
      </w:pPr>
      <w:r>
        <w:rPr>
          <w:sz w:val="28"/>
        </w:rPr>
        <w:t>Residential programs should</w:t>
      </w:r>
      <w:r w:rsidR="004D119E">
        <w:rPr>
          <w:sz w:val="28"/>
        </w:rPr>
        <w:t xml:space="preserve"> develop </w:t>
      </w:r>
      <w:r w:rsidR="003364F1" w:rsidRPr="003364F1">
        <w:rPr>
          <w:sz w:val="28"/>
        </w:rPr>
        <w:t xml:space="preserve">appropriate </w:t>
      </w:r>
      <w:r w:rsidR="002453C0">
        <w:rPr>
          <w:sz w:val="28"/>
        </w:rPr>
        <w:t xml:space="preserve">individualized and therapeutic </w:t>
      </w:r>
      <w:r w:rsidR="00470DBA">
        <w:rPr>
          <w:sz w:val="28"/>
        </w:rPr>
        <w:t>interventions and protocols</w:t>
      </w:r>
      <w:r w:rsidR="004D119E">
        <w:rPr>
          <w:sz w:val="28"/>
        </w:rPr>
        <w:t xml:space="preserve"> to</w:t>
      </w:r>
      <w:r w:rsidR="00470DBA">
        <w:rPr>
          <w:sz w:val="28"/>
        </w:rPr>
        <w:t xml:space="preserve"> avoid</w:t>
      </w:r>
      <w:r w:rsidR="004D119E">
        <w:rPr>
          <w:sz w:val="28"/>
        </w:rPr>
        <w:t xml:space="preserve"> calling law enforcement</w:t>
      </w:r>
      <w:r w:rsidR="003364F1" w:rsidRPr="003364F1">
        <w:rPr>
          <w:sz w:val="28"/>
        </w:rPr>
        <w:t xml:space="preserve"> to respond to a </w:t>
      </w:r>
      <w:r w:rsidR="00847BA8">
        <w:rPr>
          <w:sz w:val="28"/>
        </w:rPr>
        <w:t>behavioral</w:t>
      </w:r>
      <w:r w:rsidR="003364F1" w:rsidRPr="003364F1">
        <w:rPr>
          <w:sz w:val="28"/>
        </w:rPr>
        <w:t xml:space="preserve"> health crisis.  This would include the use of mobile crisis </w:t>
      </w:r>
      <w:r w:rsidR="002453C0">
        <w:rPr>
          <w:sz w:val="28"/>
        </w:rPr>
        <w:t>services</w:t>
      </w:r>
      <w:r w:rsidR="00F837C4" w:rsidRPr="003364F1">
        <w:rPr>
          <w:sz w:val="28"/>
        </w:rPr>
        <w:t>.</w:t>
      </w:r>
      <w:r w:rsidR="00F837C4">
        <w:rPr>
          <w:sz w:val="28"/>
        </w:rPr>
        <w:t xml:space="preserve">  </w:t>
      </w:r>
      <w:r w:rsidR="001F28AC">
        <w:rPr>
          <w:sz w:val="28"/>
        </w:rPr>
        <w:t>DHHS should provide oversight to ensure that law enforcement is truly used sparingly</w:t>
      </w:r>
      <w:r w:rsidR="00B365AE">
        <w:rPr>
          <w:sz w:val="28"/>
        </w:rPr>
        <w:t>,</w:t>
      </w:r>
      <w:r w:rsidR="001F28AC">
        <w:rPr>
          <w:sz w:val="28"/>
        </w:rPr>
        <w:t xml:space="preserve"> as a last resort.</w:t>
      </w:r>
    </w:p>
    <w:p w:rsidR="007D6508" w:rsidRDefault="007D6508" w:rsidP="007D6508">
      <w:pPr>
        <w:pStyle w:val="NoSpacing"/>
        <w:rPr>
          <w:sz w:val="28"/>
        </w:rPr>
      </w:pPr>
    </w:p>
    <w:p w:rsidR="00470DBA" w:rsidRDefault="00593AC1" w:rsidP="004D119E">
      <w:pPr>
        <w:pStyle w:val="NoSpacing"/>
        <w:numPr>
          <w:ilvl w:val="0"/>
          <w:numId w:val="4"/>
        </w:numPr>
        <w:rPr>
          <w:sz w:val="28"/>
        </w:rPr>
      </w:pPr>
      <w:r>
        <w:rPr>
          <w:sz w:val="28"/>
        </w:rPr>
        <w:t xml:space="preserve">DHHS should engage in further inquiry into the reasons </w:t>
      </w:r>
      <w:r w:rsidR="00341F10">
        <w:rPr>
          <w:sz w:val="28"/>
        </w:rPr>
        <w:t>that residential providers would call law enforcement instead of mobile crisis when there is a behavioral health emergency</w:t>
      </w:r>
      <w:r w:rsidR="00F837C4">
        <w:rPr>
          <w:sz w:val="28"/>
        </w:rPr>
        <w:t xml:space="preserve">.  </w:t>
      </w:r>
      <w:r w:rsidR="00341F10">
        <w:rPr>
          <w:sz w:val="28"/>
        </w:rPr>
        <w:t xml:space="preserve">Conclusions should be shared with stakeholders, and a plan put in place to </w:t>
      </w:r>
      <w:r w:rsidR="00FE6505">
        <w:rPr>
          <w:sz w:val="28"/>
        </w:rPr>
        <w:t xml:space="preserve">address </w:t>
      </w:r>
      <w:r w:rsidR="00341F10">
        <w:rPr>
          <w:sz w:val="28"/>
        </w:rPr>
        <w:t xml:space="preserve">the issues that are </w:t>
      </w:r>
      <w:r w:rsidR="00341F10">
        <w:rPr>
          <w:sz w:val="28"/>
        </w:rPr>
        <w:lastRenderedPageBreak/>
        <w:t>uncovered</w:t>
      </w:r>
      <w:r w:rsidR="00F837C4">
        <w:rPr>
          <w:sz w:val="28"/>
        </w:rPr>
        <w:t xml:space="preserve">.  </w:t>
      </w:r>
      <w:r w:rsidR="004E376C">
        <w:rPr>
          <w:sz w:val="28"/>
        </w:rPr>
        <w:t>See Appendix for u</w:t>
      </w:r>
      <w:r w:rsidR="00B365AE">
        <w:rPr>
          <w:sz w:val="28"/>
        </w:rPr>
        <w:t>seful research on</w:t>
      </w:r>
      <w:r w:rsidR="004E376C">
        <w:rPr>
          <w:sz w:val="28"/>
        </w:rPr>
        <w:t xml:space="preserve"> best practices in utilizing a statewide crisis system.</w:t>
      </w:r>
    </w:p>
    <w:p w:rsidR="007D6508" w:rsidRDefault="007D6508" w:rsidP="007D6508">
      <w:pPr>
        <w:pStyle w:val="NoSpacing"/>
        <w:rPr>
          <w:sz w:val="28"/>
        </w:rPr>
      </w:pPr>
    </w:p>
    <w:p w:rsidR="00FE0C24" w:rsidRDefault="004D119E" w:rsidP="00FE0C24">
      <w:pPr>
        <w:pStyle w:val="NoSpacing"/>
        <w:numPr>
          <w:ilvl w:val="0"/>
          <w:numId w:val="4"/>
        </w:numPr>
        <w:rPr>
          <w:sz w:val="28"/>
        </w:rPr>
      </w:pPr>
      <w:r w:rsidRPr="004D119E">
        <w:rPr>
          <w:sz w:val="28"/>
        </w:rPr>
        <w:t>Each residential program</w:t>
      </w:r>
      <w:r w:rsidR="003B38AD">
        <w:rPr>
          <w:sz w:val="28"/>
        </w:rPr>
        <w:t xml:space="preserve"> </w:t>
      </w:r>
      <w:r w:rsidR="0075635B">
        <w:rPr>
          <w:sz w:val="28"/>
        </w:rPr>
        <w:t xml:space="preserve">should have </w:t>
      </w:r>
      <w:r w:rsidR="004C518A">
        <w:rPr>
          <w:sz w:val="28"/>
        </w:rPr>
        <w:t>policies</w:t>
      </w:r>
      <w:r w:rsidR="0075635B">
        <w:rPr>
          <w:sz w:val="28"/>
        </w:rPr>
        <w:t xml:space="preserve"> and practices in place to analyze </w:t>
      </w:r>
      <w:r w:rsidR="003B38AD">
        <w:rPr>
          <w:sz w:val="28"/>
        </w:rPr>
        <w:t xml:space="preserve">specific incidents </w:t>
      </w:r>
      <w:r w:rsidR="005A5632">
        <w:rPr>
          <w:sz w:val="28"/>
        </w:rPr>
        <w:t xml:space="preserve">and trends </w:t>
      </w:r>
      <w:r w:rsidR="003B38AD">
        <w:rPr>
          <w:sz w:val="28"/>
        </w:rPr>
        <w:t xml:space="preserve">that lead to </w:t>
      </w:r>
      <w:r w:rsidRPr="004D119E">
        <w:rPr>
          <w:sz w:val="28"/>
        </w:rPr>
        <w:t>calls to law enforcement</w:t>
      </w:r>
      <w:r w:rsidR="0075635B">
        <w:rPr>
          <w:sz w:val="28"/>
        </w:rPr>
        <w:t xml:space="preserve">.  This should </w:t>
      </w:r>
      <w:r w:rsidR="003617F5">
        <w:rPr>
          <w:sz w:val="28"/>
        </w:rPr>
        <w:t>generate</w:t>
      </w:r>
      <w:r w:rsidR="004C518A">
        <w:rPr>
          <w:sz w:val="28"/>
        </w:rPr>
        <w:t xml:space="preserve"> </w:t>
      </w:r>
      <w:r w:rsidR="003B38AD">
        <w:rPr>
          <w:sz w:val="28"/>
        </w:rPr>
        <w:t>feedback and</w:t>
      </w:r>
      <w:r w:rsidRPr="004D119E">
        <w:rPr>
          <w:sz w:val="28"/>
        </w:rPr>
        <w:t xml:space="preserve"> training to staff to avoid future calls</w:t>
      </w:r>
      <w:r w:rsidR="0075635B">
        <w:rPr>
          <w:sz w:val="28"/>
        </w:rPr>
        <w:t xml:space="preserve"> to law enforcement</w:t>
      </w:r>
      <w:r w:rsidR="00B365AE">
        <w:rPr>
          <w:sz w:val="28"/>
        </w:rPr>
        <w:t>,</w:t>
      </w:r>
      <w:r w:rsidR="0075635B">
        <w:rPr>
          <w:sz w:val="28"/>
        </w:rPr>
        <w:t xml:space="preserve"> and to increase the quality of the </w:t>
      </w:r>
      <w:r w:rsidR="004C518A">
        <w:rPr>
          <w:sz w:val="28"/>
        </w:rPr>
        <w:t>therapeutic</w:t>
      </w:r>
      <w:r w:rsidR="0075635B">
        <w:rPr>
          <w:sz w:val="28"/>
        </w:rPr>
        <w:t xml:space="preserve"> response to challenging situations</w:t>
      </w:r>
      <w:r w:rsidRPr="004D119E">
        <w:rPr>
          <w:sz w:val="28"/>
        </w:rPr>
        <w:t>.</w:t>
      </w:r>
    </w:p>
    <w:p w:rsidR="00FE0C24" w:rsidRPr="00FE0C24" w:rsidRDefault="00FE0C24" w:rsidP="00FE0C24">
      <w:pPr>
        <w:pStyle w:val="NoSpacing"/>
        <w:rPr>
          <w:sz w:val="28"/>
        </w:rPr>
      </w:pPr>
    </w:p>
    <w:p w:rsidR="00FE0C24" w:rsidRPr="00FE0C24" w:rsidRDefault="00FE0C24" w:rsidP="00FE0C24">
      <w:pPr>
        <w:pStyle w:val="NoSpacing"/>
        <w:numPr>
          <w:ilvl w:val="0"/>
          <w:numId w:val="4"/>
        </w:numPr>
        <w:rPr>
          <w:sz w:val="28"/>
        </w:rPr>
      </w:pPr>
      <w:r w:rsidRPr="00FE0C24">
        <w:rPr>
          <w:sz w:val="28"/>
        </w:rPr>
        <w:t>Law enforcement agencies should work with residential providers to develop Memoranda of Understanding (MOUs) to clearly identify the types of incidents that warrant a law enforcement response.  One area to look for models in this regard is the school context, where advocates have sought to reduce the negative impacts of increased police presence in schools through the use of MOUs to clearly delineate the role of school resource officers.  This ensures that they are focused on significant safety risks instead of policing classroom misbehavior.</w:t>
      </w:r>
    </w:p>
    <w:p w:rsidR="00FE0C24" w:rsidRDefault="00FE0C24" w:rsidP="00FE0C24">
      <w:pPr>
        <w:pStyle w:val="ListParagraph"/>
        <w:rPr>
          <w:sz w:val="28"/>
        </w:rPr>
      </w:pPr>
    </w:p>
    <w:p w:rsidR="007D6508" w:rsidRPr="00FE0C24" w:rsidRDefault="00FE0C24" w:rsidP="007D6508">
      <w:pPr>
        <w:pStyle w:val="ListParagraph"/>
        <w:numPr>
          <w:ilvl w:val="0"/>
          <w:numId w:val="4"/>
        </w:numPr>
        <w:rPr>
          <w:sz w:val="28"/>
        </w:rPr>
      </w:pPr>
      <w:r w:rsidRPr="00FE0C24">
        <w:rPr>
          <w:sz w:val="28"/>
        </w:rPr>
        <w:t>DHHS and DOC should cooperate to complete an updated study of youth committed to Long Creek for FY 2017.</w:t>
      </w:r>
    </w:p>
    <w:p w:rsidR="003B38AD" w:rsidRDefault="000E32BA" w:rsidP="003364F1">
      <w:pPr>
        <w:pStyle w:val="NoSpacing"/>
        <w:numPr>
          <w:ilvl w:val="0"/>
          <w:numId w:val="4"/>
        </w:numPr>
        <w:rPr>
          <w:sz w:val="28"/>
        </w:rPr>
      </w:pPr>
      <w:r>
        <w:rPr>
          <w:sz w:val="28"/>
        </w:rPr>
        <w:t>DHHS should p</w:t>
      </w:r>
      <w:r w:rsidR="003B38AD">
        <w:rPr>
          <w:sz w:val="28"/>
        </w:rPr>
        <w:t xml:space="preserve">lace </w:t>
      </w:r>
      <w:r>
        <w:rPr>
          <w:sz w:val="28"/>
        </w:rPr>
        <w:t>restrictions on</w:t>
      </w:r>
      <w:r w:rsidR="00FE6505">
        <w:rPr>
          <w:sz w:val="28"/>
        </w:rPr>
        <w:t xml:space="preserve"> the ability of</w:t>
      </w:r>
      <w:r>
        <w:rPr>
          <w:sz w:val="28"/>
        </w:rPr>
        <w:t xml:space="preserve"> </w:t>
      </w:r>
      <w:r w:rsidR="003B38AD">
        <w:rPr>
          <w:sz w:val="28"/>
        </w:rPr>
        <w:t>residential programs</w:t>
      </w:r>
      <w:r w:rsidR="00546E32">
        <w:rPr>
          <w:sz w:val="28"/>
        </w:rPr>
        <w:t xml:space="preserve"> </w:t>
      </w:r>
      <w:r w:rsidR="003B38AD">
        <w:rPr>
          <w:sz w:val="28"/>
        </w:rPr>
        <w:t>to</w:t>
      </w:r>
      <w:r w:rsidR="003364F1" w:rsidRPr="003B38AD">
        <w:rPr>
          <w:sz w:val="28"/>
        </w:rPr>
        <w:t xml:space="preserve"> di</w:t>
      </w:r>
      <w:r w:rsidR="003B38AD">
        <w:rPr>
          <w:sz w:val="28"/>
        </w:rPr>
        <w:t>scharge youth who are detained at Long Creek</w:t>
      </w:r>
      <w:r w:rsidR="00F837C4">
        <w:rPr>
          <w:sz w:val="28"/>
        </w:rPr>
        <w:t xml:space="preserve">.  </w:t>
      </w:r>
      <w:r w:rsidR="00603DD4">
        <w:rPr>
          <w:sz w:val="28"/>
        </w:rPr>
        <w:t>Providers should be required to remain engaged in treatment planning, and planning for the youth’s return to a treatment setting, unless and until the youth is committed</w:t>
      </w:r>
      <w:r w:rsidR="00F837C4">
        <w:rPr>
          <w:sz w:val="28"/>
        </w:rPr>
        <w:t xml:space="preserve">.  </w:t>
      </w:r>
      <w:r w:rsidR="00603DD4">
        <w:rPr>
          <w:sz w:val="28"/>
        </w:rPr>
        <w:t>During this process, t</w:t>
      </w:r>
      <w:r w:rsidR="003B38AD">
        <w:rPr>
          <w:sz w:val="28"/>
        </w:rPr>
        <w:t>he residential program</w:t>
      </w:r>
      <w:r w:rsidR="003364F1" w:rsidRPr="003B38AD">
        <w:rPr>
          <w:sz w:val="28"/>
        </w:rPr>
        <w:t xml:space="preserve"> </w:t>
      </w:r>
      <w:r w:rsidR="00603DD4">
        <w:rPr>
          <w:sz w:val="28"/>
        </w:rPr>
        <w:t>should hold</w:t>
      </w:r>
      <w:r w:rsidR="003364F1" w:rsidRPr="003B38AD">
        <w:rPr>
          <w:sz w:val="28"/>
        </w:rPr>
        <w:t xml:space="preserve"> </w:t>
      </w:r>
      <w:r w:rsidR="003B38AD">
        <w:rPr>
          <w:sz w:val="28"/>
        </w:rPr>
        <w:t xml:space="preserve">the bed with an explicit </w:t>
      </w:r>
      <w:r w:rsidR="003364F1" w:rsidRPr="003B38AD">
        <w:rPr>
          <w:sz w:val="28"/>
        </w:rPr>
        <w:t>right to return</w:t>
      </w:r>
      <w:r w:rsidR="003B38AD">
        <w:rPr>
          <w:sz w:val="28"/>
        </w:rPr>
        <w:t>.</w:t>
      </w:r>
      <w:r w:rsidR="009B2CF1">
        <w:rPr>
          <w:rStyle w:val="FootnoteReference"/>
          <w:sz w:val="28"/>
        </w:rPr>
        <w:footnoteReference w:id="21"/>
      </w:r>
    </w:p>
    <w:p w:rsidR="007D6508" w:rsidRDefault="007D6508" w:rsidP="007D6508">
      <w:pPr>
        <w:pStyle w:val="NoSpacing"/>
        <w:rPr>
          <w:sz w:val="28"/>
        </w:rPr>
      </w:pPr>
    </w:p>
    <w:p w:rsidR="00D90CB7" w:rsidRDefault="00BC0D26" w:rsidP="00D90CB7">
      <w:pPr>
        <w:pStyle w:val="NoSpacing"/>
        <w:numPr>
          <w:ilvl w:val="0"/>
          <w:numId w:val="4"/>
        </w:numPr>
        <w:rPr>
          <w:sz w:val="28"/>
        </w:rPr>
      </w:pPr>
      <w:r>
        <w:rPr>
          <w:sz w:val="28"/>
        </w:rPr>
        <w:t>DHHS, DOC, and other stakeholders should work together to e</w:t>
      </w:r>
      <w:r w:rsidR="003364F1" w:rsidRPr="003B38AD">
        <w:rPr>
          <w:sz w:val="28"/>
        </w:rPr>
        <w:t xml:space="preserve">nhance or create </w:t>
      </w:r>
      <w:r w:rsidR="004F15F5">
        <w:rPr>
          <w:sz w:val="28"/>
        </w:rPr>
        <w:t>community alternatives to incarceration for</w:t>
      </w:r>
      <w:r w:rsidR="003364F1" w:rsidRPr="003B38AD">
        <w:rPr>
          <w:sz w:val="28"/>
        </w:rPr>
        <w:t xml:space="preserve"> youth arrested at </w:t>
      </w:r>
      <w:r w:rsidR="003B38AD">
        <w:rPr>
          <w:sz w:val="28"/>
        </w:rPr>
        <w:t>residential programs</w:t>
      </w:r>
      <w:r w:rsidR="003364F1" w:rsidRPr="003B38AD">
        <w:rPr>
          <w:sz w:val="28"/>
        </w:rPr>
        <w:t>.</w:t>
      </w:r>
    </w:p>
    <w:p w:rsidR="00D90CB7" w:rsidRDefault="00D90CB7" w:rsidP="00D90CB7">
      <w:pPr>
        <w:pStyle w:val="ListParagraph"/>
        <w:rPr>
          <w:sz w:val="28"/>
        </w:rPr>
      </w:pPr>
    </w:p>
    <w:p w:rsidR="002701AA" w:rsidRDefault="003F6E6E" w:rsidP="0030055D">
      <w:pPr>
        <w:pStyle w:val="NoSpacing"/>
        <w:numPr>
          <w:ilvl w:val="0"/>
          <w:numId w:val="4"/>
        </w:numPr>
        <w:rPr>
          <w:sz w:val="28"/>
        </w:rPr>
      </w:pPr>
      <w:r w:rsidRPr="002701AA">
        <w:rPr>
          <w:sz w:val="28"/>
        </w:rPr>
        <w:lastRenderedPageBreak/>
        <w:t>Municipalities and the state should increase training for law enforcement officers who are asked to intervene in a youth behavioral health crisis</w:t>
      </w:r>
      <w:r w:rsidR="00F837C4" w:rsidRPr="002701AA">
        <w:rPr>
          <w:sz w:val="28"/>
        </w:rPr>
        <w:t xml:space="preserve">.  </w:t>
      </w:r>
      <w:r w:rsidRPr="002701AA">
        <w:rPr>
          <w:sz w:val="28"/>
        </w:rPr>
        <w:t>One useful resource within the state is the Mental Health First Aid training offered by NAMI Maine.</w:t>
      </w:r>
      <w:r w:rsidRPr="003F6E6E">
        <w:rPr>
          <w:sz w:val="28"/>
          <w:vertAlign w:val="superscript"/>
        </w:rPr>
        <w:footnoteReference w:id="22"/>
      </w:r>
      <w:proofErr w:type="gramStart"/>
      <w:r w:rsidRPr="002701AA">
        <w:rPr>
          <w:sz w:val="28"/>
        </w:rPr>
        <w:t xml:space="preserve"> </w:t>
      </w:r>
      <w:proofErr w:type="gramEnd"/>
      <w:r w:rsidRPr="002701AA">
        <w:rPr>
          <w:sz w:val="28"/>
        </w:rPr>
        <w:t>Law Enforcement agencies should also consider adopting the “Police Juvenile Reporting Form” that is used by the Maine State Police in York County.</w:t>
      </w:r>
      <w:r w:rsidRPr="003F6E6E">
        <w:rPr>
          <w:sz w:val="28"/>
          <w:vertAlign w:val="superscript"/>
        </w:rPr>
        <w:footnoteReference w:id="23"/>
      </w:r>
      <w:proofErr w:type="gramStart"/>
      <w:r w:rsidRPr="002701AA">
        <w:rPr>
          <w:sz w:val="28"/>
        </w:rPr>
        <w:t xml:space="preserve"> </w:t>
      </w:r>
      <w:proofErr w:type="gramEnd"/>
      <w:r w:rsidRPr="002701AA">
        <w:rPr>
          <w:sz w:val="28"/>
        </w:rPr>
        <w:t>Another promising model to explore is the CIT-Y protocol, described in further detail in the Appendix.</w:t>
      </w:r>
    </w:p>
    <w:p w:rsidR="002701AA" w:rsidRDefault="002701AA">
      <w:pPr>
        <w:rPr>
          <w:sz w:val="28"/>
        </w:rPr>
      </w:pPr>
      <w:r>
        <w:rPr>
          <w:sz w:val="28"/>
        </w:rPr>
        <w:br w:type="page"/>
      </w:r>
    </w:p>
    <w:p w:rsidR="00916259" w:rsidRPr="002701AA" w:rsidRDefault="00C929B0" w:rsidP="002701AA">
      <w:pPr>
        <w:pStyle w:val="Heading1"/>
      </w:pPr>
      <w:bookmarkStart w:id="7" w:name="_Toc489971864"/>
      <w:r w:rsidRPr="00FF36B0">
        <w:lastRenderedPageBreak/>
        <w:t>Appendix</w:t>
      </w:r>
      <w:bookmarkEnd w:id="7"/>
    </w:p>
    <w:p w:rsidR="003F6E6E" w:rsidRPr="002701AA" w:rsidRDefault="002701AA" w:rsidP="002701AA">
      <w:pPr>
        <w:pStyle w:val="NoSpacing"/>
        <w:rPr>
          <w:sz w:val="28"/>
          <w:szCs w:val="28"/>
        </w:rPr>
      </w:pPr>
      <w:r>
        <w:rPr>
          <w:sz w:val="28"/>
          <w:szCs w:val="28"/>
        </w:rPr>
        <w:t>Here i</w:t>
      </w:r>
      <w:r w:rsidR="003F6E6E" w:rsidRPr="002701AA">
        <w:rPr>
          <w:sz w:val="28"/>
          <w:szCs w:val="28"/>
        </w:rPr>
        <w:t>n Maine, Troop A of the Maine State Police (York County) has already explored significant reforms regarding treatment of youth in a behavioral health crisis</w:t>
      </w:r>
      <w:r w:rsidR="00F837C4" w:rsidRPr="002701AA">
        <w:rPr>
          <w:sz w:val="28"/>
          <w:szCs w:val="28"/>
        </w:rPr>
        <w:t xml:space="preserve">.  </w:t>
      </w:r>
      <w:r w:rsidR="003F6E6E" w:rsidRPr="002701AA">
        <w:rPr>
          <w:sz w:val="28"/>
          <w:szCs w:val="28"/>
        </w:rPr>
        <w:t>Recognizing that the typical law enforcement response to such a call was often inadequate, Sergeant Jonathan Shapiro developed “An Improved Police Response to Juveniles in Crisis.”</w:t>
      </w:r>
      <w:r w:rsidR="003F6E6E" w:rsidRPr="002701AA">
        <w:rPr>
          <w:sz w:val="28"/>
          <w:szCs w:val="28"/>
          <w:vertAlign w:val="superscript"/>
        </w:rPr>
        <w:footnoteReference w:id="24"/>
      </w:r>
      <w:r w:rsidR="003F6E6E" w:rsidRPr="002701AA">
        <w:rPr>
          <w:sz w:val="28"/>
          <w:szCs w:val="28"/>
        </w:rPr>
        <w:t xml:space="preserve"> The five components are additional police training; the creation of a centralized form to track and pass along information from these calls; a collaboration with crisis services to follow up with callers; a case review committee; and education for parents and caregivers.</w:t>
      </w:r>
      <w:r w:rsidR="003F6E6E" w:rsidRPr="002701AA">
        <w:rPr>
          <w:sz w:val="28"/>
          <w:szCs w:val="28"/>
          <w:vertAlign w:val="superscript"/>
        </w:rPr>
        <w:footnoteReference w:id="25"/>
      </w:r>
      <w:r w:rsidR="00F837C4" w:rsidRPr="002701AA">
        <w:rPr>
          <w:sz w:val="28"/>
          <w:szCs w:val="28"/>
        </w:rPr>
        <w:t xml:space="preserve">  </w:t>
      </w:r>
      <w:r w:rsidR="003F6E6E" w:rsidRPr="002701AA">
        <w:rPr>
          <w:sz w:val="28"/>
          <w:szCs w:val="28"/>
        </w:rPr>
        <w:t xml:space="preserve">This process promotes early identification of youth who require more supports, and facilitates the provision of the appropriate services, thereby avoiding further use of law enforcement for a behavioral health crisis. </w:t>
      </w:r>
    </w:p>
    <w:p w:rsidR="003F6E6E" w:rsidRDefault="003F6E6E" w:rsidP="003F6E6E">
      <w:pPr>
        <w:pStyle w:val="NoSpacing"/>
        <w:rPr>
          <w:sz w:val="28"/>
        </w:rPr>
      </w:pPr>
    </w:p>
    <w:p w:rsidR="003F6E6E" w:rsidRPr="003F6E6E" w:rsidRDefault="003F6E6E" w:rsidP="003F6E6E">
      <w:pPr>
        <w:pStyle w:val="NoSpacing"/>
        <w:rPr>
          <w:sz w:val="28"/>
        </w:rPr>
      </w:pPr>
      <w:r w:rsidRPr="003F6E6E">
        <w:rPr>
          <w:sz w:val="28"/>
        </w:rPr>
        <w:t>Although this protocol generally presumes that the calls to law enforcement are made by parents of children who reside in the family home, there are elements that would be useful in the residential treatment context as well</w:t>
      </w:r>
      <w:r w:rsidR="00F837C4" w:rsidRPr="003F6E6E">
        <w:rPr>
          <w:sz w:val="28"/>
        </w:rPr>
        <w:t xml:space="preserve">.  </w:t>
      </w:r>
      <w:r w:rsidRPr="003F6E6E">
        <w:rPr>
          <w:sz w:val="28"/>
        </w:rPr>
        <w:t>For instance, the protocol provides guidance to callers on “information on the differentiation between situations that requires [sic] police intervention versus a non-crisis mental health intervention.”</w:t>
      </w:r>
      <w:r w:rsidRPr="003F6E6E">
        <w:rPr>
          <w:sz w:val="28"/>
          <w:vertAlign w:val="superscript"/>
        </w:rPr>
        <w:footnoteReference w:id="26"/>
      </w:r>
      <w:r w:rsidR="00F837C4" w:rsidRPr="003F6E6E">
        <w:rPr>
          <w:sz w:val="28"/>
        </w:rPr>
        <w:t xml:space="preserve">  </w:t>
      </w:r>
      <w:r w:rsidRPr="003F6E6E">
        <w:rPr>
          <w:sz w:val="28"/>
        </w:rPr>
        <w:t>The consistent utilization by law enforcement of the “Police Juvenile Reporting Form”</w:t>
      </w:r>
      <w:r w:rsidRPr="003F6E6E">
        <w:rPr>
          <w:sz w:val="28"/>
          <w:vertAlign w:val="superscript"/>
        </w:rPr>
        <w:footnoteReference w:id="27"/>
      </w:r>
      <w:r w:rsidRPr="003F6E6E">
        <w:rPr>
          <w:sz w:val="28"/>
        </w:rPr>
        <w:t xml:space="preserve"> would likely be beneficial for youth in residential programs as well.</w:t>
      </w:r>
    </w:p>
    <w:p w:rsidR="003F6E6E" w:rsidRDefault="003F6E6E" w:rsidP="000C3590">
      <w:pPr>
        <w:pStyle w:val="NoSpacing"/>
        <w:rPr>
          <w:sz w:val="28"/>
        </w:rPr>
      </w:pPr>
    </w:p>
    <w:p w:rsidR="003F6E6E" w:rsidRDefault="00B97233" w:rsidP="000C3590">
      <w:pPr>
        <w:pStyle w:val="NoSpacing"/>
        <w:rPr>
          <w:sz w:val="28"/>
        </w:rPr>
      </w:pPr>
      <w:r>
        <w:rPr>
          <w:sz w:val="28"/>
        </w:rPr>
        <w:t xml:space="preserve">Maine is not </w:t>
      </w:r>
      <w:r w:rsidR="00A6280E">
        <w:rPr>
          <w:sz w:val="28"/>
        </w:rPr>
        <w:t>the only place</w:t>
      </w:r>
      <w:r>
        <w:rPr>
          <w:sz w:val="28"/>
        </w:rPr>
        <w:t xml:space="preserve"> faced wi</w:t>
      </w:r>
      <w:r w:rsidR="00CF2840">
        <w:rPr>
          <w:sz w:val="28"/>
        </w:rPr>
        <w:t>th these challenges</w:t>
      </w:r>
      <w:r w:rsidR="00F837C4">
        <w:rPr>
          <w:sz w:val="28"/>
        </w:rPr>
        <w:t xml:space="preserve">.  </w:t>
      </w:r>
      <w:r w:rsidR="00916259">
        <w:rPr>
          <w:sz w:val="28"/>
        </w:rPr>
        <w:t xml:space="preserve">Below are examples </w:t>
      </w:r>
      <w:r w:rsidR="00C92DC8">
        <w:rPr>
          <w:sz w:val="28"/>
        </w:rPr>
        <w:t xml:space="preserve">of </w:t>
      </w:r>
      <w:r w:rsidR="00A6280E">
        <w:rPr>
          <w:sz w:val="28"/>
        </w:rPr>
        <w:t>how other jurisdictions have worked to reduce unnecessary police involvement in residential settings</w:t>
      </w:r>
      <w:r w:rsidR="00C92DC8">
        <w:rPr>
          <w:sz w:val="28"/>
        </w:rPr>
        <w:t>.</w:t>
      </w:r>
    </w:p>
    <w:p w:rsidR="00916259" w:rsidRDefault="00916259" w:rsidP="000C3590">
      <w:pPr>
        <w:pStyle w:val="NoSpacing"/>
        <w:rPr>
          <w:sz w:val="28"/>
        </w:rPr>
      </w:pPr>
    </w:p>
    <w:p w:rsidR="00C92DC8" w:rsidRDefault="006026BB" w:rsidP="00C92DC8">
      <w:pPr>
        <w:pStyle w:val="NoSpacing"/>
        <w:rPr>
          <w:sz w:val="28"/>
        </w:rPr>
      </w:pPr>
      <w:r>
        <w:rPr>
          <w:sz w:val="28"/>
        </w:rPr>
        <w:t>Massachusetts has a</w:t>
      </w:r>
      <w:r w:rsidR="00C92DC8" w:rsidRPr="00C92DC8">
        <w:rPr>
          <w:sz w:val="28"/>
        </w:rPr>
        <w:t xml:space="preserve"> Mobile Crisis Intervention Program</w:t>
      </w:r>
      <w:r>
        <w:rPr>
          <w:sz w:val="28"/>
        </w:rPr>
        <w:t>,</w:t>
      </w:r>
      <w:r w:rsidR="00C92DC8" w:rsidRPr="00C92DC8">
        <w:rPr>
          <w:sz w:val="28"/>
        </w:rPr>
        <w:t xml:space="preserve"> which is part of the Children’s Behavioral He</w:t>
      </w:r>
      <w:r>
        <w:rPr>
          <w:sz w:val="28"/>
        </w:rPr>
        <w:t>alth Initiative</w:t>
      </w:r>
      <w:r w:rsidR="00C92DC8" w:rsidRPr="00C92DC8">
        <w:rPr>
          <w:sz w:val="28"/>
        </w:rPr>
        <w:t>.</w:t>
      </w:r>
      <w:r w:rsidR="00C92DC8" w:rsidRPr="00C92DC8">
        <w:rPr>
          <w:sz w:val="28"/>
          <w:vertAlign w:val="superscript"/>
        </w:rPr>
        <w:footnoteReference w:id="28"/>
      </w:r>
      <w:r w:rsidR="00C92DC8" w:rsidRPr="00C92DC8">
        <w:rPr>
          <w:sz w:val="28"/>
        </w:rPr>
        <w:t xml:space="preserve"> </w:t>
      </w:r>
      <w:r w:rsidR="002701AA">
        <w:rPr>
          <w:sz w:val="28"/>
        </w:rPr>
        <w:t xml:space="preserve"> </w:t>
      </w:r>
      <w:r w:rsidR="00C92DC8" w:rsidRPr="00C92DC8">
        <w:rPr>
          <w:sz w:val="28"/>
        </w:rPr>
        <w:t xml:space="preserve">This program is available to providers 24 </w:t>
      </w:r>
      <w:r w:rsidR="00C92DC8" w:rsidRPr="00C92DC8">
        <w:rPr>
          <w:sz w:val="28"/>
        </w:rPr>
        <w:lastRenderedPageBreak/>
        <w:t>hours a day</w:t>
      </w:r>
      <w:r w:rsidR="008A0C12">
        <w:rPr>
          <w:sz w:val="28"/>
        </w:rPr>
        <w:t>,</w:t>
      </w:r>
      <w:r w:rsidR="00C92DC8" w:rsidRPr="00C92DC8">
        <w:rPr>
          <w:sz w:val="28"/>
        </w:rPr>
        <w:t xml:space="preserve"> 365 days a year</w:t>
      </w:r>
      <w:r w:rsidR="00F837C4">
        <w:rPr>
          <w:sz w:val="28"/>
        </w:rPr>
        <w:t xml:space="preserve">.  </w:t>
      </w:r>
      <w:r w:rsidR="00A6280E">
        <w:rPr>
          <w:sz w:val="28"/>
        </w:rPr>
        <w:t>Providers</w:t>
      </w:r>
      <w:r w:rsidR="00A6280E" w:rsidRPr="00C92DC8">
        <w:rPr>
          <w:sz w:val="28"/>
        </w:rPr>
        <w:t xml:space="preserve"> </w:t>
      </w:r>
      <w:r w:rsidR="00C92DC8" w:rsidRPr="00C92DC8">
        <w:rPr>
          <w:sz w:val="28"/>
        </w:rPr>
        <w:t xml:space="preserve">can call </w:t>
      </w:r>
      <w:r w:rsidR="008A0C12">
        <w:rPr>
          <w:sz w:val="28"/>
        </w:rPr>
        <w:t>and request that</w:t>
      </w:r>
      <w:r w:rsidR="00C92DC8" w:rsidRPr="00C92DC8">
        <w:rPr>
          <w:sz w:val="28"/>
        </w:rPr>
        <w:t xml:space="preserve"> trained staff come to </w:t>
      </w:r>
      <w:r w:rsidR="008A0C12">
        <w:rPr>
          <w:sz w:val="28"/>
        </w:rPr>
        <w:t>a</w:t>
      </w:r>
      <w:r w:rsidR="00C92DC8" w:rsidRPr="00C92DC8">
        <w:rPr>
          <w:sz w:val="28"/>
        </w:rPr>
        <w:t xml:space="preserve"> </w:t>
      </w:r>
      <w:r w:rsidR="008A0C12">
        <w:rPr>
          <w:sz w:val="28"/>
        </w:rPr>
        <w:t>program</w:t>
      </w:r>
      <w:r w:rsidR="00C92DC8" w:rsidRPr="00C92DC8">
        <w:rPr>
          <w:sz w:val="28"/>
        </w:rPr>
        <w:t xml:space="preserve">, in situations </w:t>
      </w:r>
      <w:r w:rsidR="00A6280E">
        <w:rPr>
          <w:sz w:val="28"/>
        </w:rPr>
        <w:t xml:space="preserve">where </w:t>
      </w:r>
      <w:r w:rsidR="00C92DC8" w:rsidRPr="00C92DC8">
        <w:rPr>
          <w:sz w:val="28"/>
        </w:rPr>
        <w:t xml:space="preserve">immediate intervention is needed. </w:t>
      </w:r>
    </w:p>
    <w:p w:rsidR="00C92DC8" w:rsidRPr="00C92DC8" w:rsidRDefault="00C92DC8" w:rsidP="00C92DC8">
      <w:pPr>
        <w:pStyle w:val="NoSpacing"/>
        <w:rPr>
          <w:sz w:val="28"/>
        </w:rPr>
      </w:pPr>
    </w:p>
    <w:p w:rsidR="00A940C1" w:rsidRDefault="00C92DC8" w:rsidP="00C92DC8">
      <w:pPr>
        <w:pStyle w:val="NoSpacing"/>
        <w:rPr>
          <w:sz w:val="28"/>
        </w:rPr>
      </w:pPr>
      <w:r w:rsidRPr="00C92DC8">
        <w:rPr>
          <w:sz w:val="28"/>
        </w:rPr>
        <w:t>A similar program</w:t>
      </w:r>
      <w:r w:rsidR="00F616D0">
        <w:rPr>
          <w:sz w:val="28"/>
        </w:rPr>
        <w:t xml:space="preserve"> utilized in other states</w:t>
      </w:r>
      <w:r w:rsidRPr="00C92DC8">
        <w:rPr>
          <w:sz w:val="28"/>
        </w:rPr>
        <w:t xml:space="preserve"> is the Crisis Intervention Teams</w:t>
      </w:r>
      <w:r w:rsidR="00F616D0">
        <w:rPr>
          <w:sz w:val="28"/>
        </w:rPr>
        <w:t xml:space="preserve"> (“CIT”)</w:t>
      </w:r>
      <w:r w:rsidRPr="00C92DC8">
        <w:rPr>
          <w:sz w:val="28"/>
        </w:rPr>
        <w:t xml:space="preserve"> model,</w:t>
      </w:r>
      <w:r w:rsidRPr="00C92DC8">
        <w:rPr>
          <w:sz w:val="28"/>
          <w:vertAlign w:val="superscript"/>
        </w:rPr>
        <w:footnoteReference w:id="29"/>
      </w:r>
      <w:r w:rsidRPr="00C92DC8">
        <w:rPr>
          <w:sz w:val="28"/>
        </w:rPr>
        <w:t xml:space="preserve"> which focuses on front-end diversion</w:t>
      </w:r>
      <w:r w:rsidR="00F837C4" w:rsidRPr="00C92DC8">
        <w:rPr>
          <w:sz w:val="28"/>
        </w:rPr>
        <w:t xml:space="preserve">.  </w:t>
      </w:r>
      <w:r w:rsidRPr="00C92DC8">
        <w:rPr>
          <w:sz w:val="28"/>
        </w:rPr>
        <w:t>This program trains staff on mental illness, primarily</w:t>
      </w:r>
      <w:r w:rsidR="00CD41D9">
        <w:rPr>
          <w:sz w:val="28"/>
        </w:rPr>
        <w:t xml:space="preserve"> among the adult population</w:t>
      </w:r>
      <w:r w:rsidR="00F837C4">
        <w:rPr>
          <w:sz w:val="28"/>
        </w:rPr>
        <w:t xml:space="preserve">.  </w:t>
      </w:r>
      <w:r w:rsidRPr="00C92DC8">
        <w:rPr>
          <w:sz w:val="28"/>
        </w:rPr>
        <w:t>In 40 hours of intensive training, police officers are trained on mental illness, how best to respond to phone calls, and resources that can be used</w:t>
      </w:r>
      <w:r w:rsidR="00F837C4" w:rsidRPr="00C92DC8">
        <w:rPr>
          <w:sz w:val="28"/>
        </w:rPr>
        <w:t xml:space="preserve">.  </w:t>
      </w:r>
      <w:r w:rsidRPr="00C92DC8">
        <w:rPr>
          <w:sz w:val="28"/>
        </w:rPr>
        <w:t>“Studies of CIT programs indicate that they decrease the need for more intensive and costly law enforcement responses, reduce officer injuries, and increase referrals to emergency health care.”</w:t>
      </w:r>
      <w:r w:rsidRPr="00C92DC8">
        <w:rPr>
          <w:sz w:val="28"/>
          <w:vertAlign w:val="superscript"/>
        </w:rPr>
        <w:footnoteReference w:id="30"/>
      </w:r>
      <w:r w:rsidR="00CD41D9">
        <w:rPr>
          <w:sz w:val="28"/>
        </w:rPr>
        <w:t xml:space="preserve"> </w:t>
      </w:r>
    </w:p>
    <w:p w:rsidR="00A940C1" w:rsidRDefault="00A940C1" w:rsidP="00C92DC8">
      <w:pPr>
        <w:pStyle w:val="NoSpacing"/>
        <w:rPr>
          <w:sz w:val="28"/>
        </w:rPr>
      </w:pPr>
    </w:p>
    <w:p w:rsidR="00C92DC8" w:rsidRPr="00C92DC8" w:rsidRDefault="00BB42E8" w:rsidP="00C92DC8">
      <w:pPr>
        <w:pStyle w:val="NoSpacing"/>
        <w:rPr>
          <w:sz w:val="28"/>
        </w:rPr>
      </w:pPr>
      <w:r>
        <w:rPr>
          <w:sz w:val="28"/>
        </w:rPr>
        <w:t>Currently</w:t>
      </w:r>
      <w:r w:rsidRPr="00C92DC8">
        <w:rPr>
          <w:sz w:val="28"/>
        </w:rPr>
        <w:t xml:space="preserve"> </w:t>
      </w:r>
      <w:r w:rsidR="00C92DC8" w:rsidRPr="00C92DC8">
        <w:rPr>
          <w:sz w:val="28"/>
        </w:rPr>
        <w:t>there is no parallel program</w:t>
      </w:r>
      <w:r w:rsidR="00A940C1">
        <w:rPr>
          <w:sz w:val="28"/>
        </w:rPr>
        <w:t xml:space="preserve"> for youth with mental illness</w:t>
      </w:r>
      <w:r w:rsidR="00F837C4">
        <w:rPr>
          <w:sz w:val="28"/>
        </w:rPr>
        <w:t xml:space="preserve">.  </w:t>
      </w:r>
      <w:r w:rsidR="00A940C1">
        <w:rPr>
          <w:sz w:val="28"/>
        </w:rPr>
        <w:t>However,</w:t>
      </w:r>
      <w:r w:rsidR="00C92DC8" w:rsidRPr="00C92DC8">
        <w:rPr>
          <w:sz w:val="28"/>
        </w:rPr>
        <w:t xml:space="preserve"> the National Center for Mental Health and Juvenile </w:t>
      </w:r>
      <w:r w:rsidR="00A940C1" w:rsidRPr="00C92DC8">
        <w:rPr>
          <w:sz w:val="28"/>
        </w:rPr>
        <w:t xml:space="preserve">Justice </w:t>
      </w:r>
      <w:r w:rsidR="00A940C1">
        <w:rPr>
          <w:sz w:val="28"/>
        </w:rPr>
        <w:t>recently</w:t>
      </w:r>
      <w:r>
        <w:rPr>
          <w:sz w:val="28"/>
        </w:rPr>
        <w:t xml:space="preserve"> </w:t>
      </w:r>
      <w:r w:rsidR="00C92DC8" w:rsidRPr="00C92DC8">
        <w:rPr>
          <w:sz w:val="28"/>
        </w:rPr>
        <w:t>propose</w:t>
      </w:r>
      <w:r w:rsidR="00E31C1C">
        <w:rPr>
          <w:sz w:val="28"/>
        </w:rPr>
        <w:t>d</w:t>
      </w:r>
      <w:r w:rsidR="00C92DC8" w:rsidRPr="00C92DC8">
        <w:rPr>
          <w:sz w:val="28"/>
        </w:rPr>
        <w:t xml:space="preserve"> a </w:t>
      </w:r>
      <w:r>
        <w:rPr>
          <w:sz w:val="28"/>
        </w:rPr>
        <w:t xml:space="preserve">set of </w:t>
      </w:r>
      <w:r w:rsidR="00C92DC8" w:rsidRPr="00C92DC8">
        <w:rPr>
          <w:sz w:val="28"/>
        </w:rPr>
        <w:t>reform</w:t>
      </w:r>
      <w:r>
        <w:rPr>
          <w:sz w:val="28"/>
        </w:rPr>
        <w:t>s</w:t>
      </w:r>
      <w:r w:rsidR="00C92DC8" w:rsidRPr="00C92DC8">
        <w:rPr>
          <w:sz w:val="28"/>
          <w:vertAlign w:val="superscript"/>
        </w:rPr>
        <w:footnoteReference w:id="31"/>
      </w:r>
      <w:r w:rsidR="00C92DC8" w:rsidRPr="00C92DC8">
        <w:rPr>
          <w:sz w:val="28"/>
        </w:rPr>
        <w:t xml:space="preserve"> that include</w:t>
      </w:r>
      <w:r>
        <w:rPr>
          <w:sz w:val="28"/>
        </w:rPr>
        <w:t>d</w:t>
      </w:r>
      <w:r w:rsidR="00C92DC8" w:rsidRPr="00C92DC8">
        <w:rPr>
          <w:sz w:val="28"/>
        </w:rPr>
        <w:t xml:space="preserve"> Crisis Intervention Teams for Youth (</w:t>
      </w:r>
      <w:r w:rsidR="00E31C1C">
        <w:rPr>
          <w:sz w:val="28"/>
        </w:rPr>
        <w:t>“</w:t>
      </w:r>
      <w:r w:rsidR="00C92DC8" w:rsidRPr="00C92DC8">
        <w:rPr>
          <w:sz w:val="28"/>
        </w:rPr>
        <w:t>CIT-Y</w:t>
      </w:r>
      <w:r w:rsidR="00E31C1C">
        <w:rPr>
          <w:sz w:val="28"/>
        </w:rPr>
        <w:t>”</w:t>
      </w:r>
      <w:r w:rsidR="00C92DC8" w:rsidRPr="00C92DC8">
        <w:rPr>
          <w:sz w:val="28"/>
        </w:rPr>
        <w:t>)</w:t>
      </w:r>
      <w:r w:rsidR="00F837C4" w:rsidRPr="00C92DC8">
        <w:rPr>
          <w:sz w:val="28"/>
        </w:rPr>
        <w:t xml:space="preserve">.  </w:t>
      </w:r>
      <w:r w:rsidR="00C92DC8" w:rsidRPr="00C92DC8">
        <w:rPr>
          <w:sz w:val="28"/>
        </w:rPr>
        <w:t>With this program</w:t>
      </w:r>
      <w:r w:rsidR="005E45FD">
        <w:rPr>
          <w:sz w:val="28"/>
        </w:rPr>
        <w:t>,</w:t>
      </w:r>
      <w:r w:rsidR="00C92DC8" w:rsidRPr="00C92DC8">
        <w:rPr>
          <w:sz w:val="28"/>
        </w:rPr>
        <w:t xml:space="preserve"> police would be trained in signs and symptoms of youth with mental illness</w:t>
      </w:r>
      <w:r w:rsidR="005E45FD">
        <w:rPr>
          <w:sz w:val="28"/>
        </w:rPr>
        <w:t>,</w:t>
      </w:r>
      <w:r w:rsidR="00C92DC8" w:rsidRPr="00C92DC8">
        <w:rPr>
          <w:sz w:val="28"/>
        </w:rPr>
        <w:t xml:space="preserve"> and</w:t>
      </w:r>
      <w:r w:rsidR="005E45FD">
        <w:rPr>
          <w:sz w:val="28"/>
        </w:rPr>
        <w:t xml:space="preserve"> learn how</w:t>
      </w:r>
      <w:r w:rsidR="00C92DC8" w:rsidRPr="00C92DC8">
        <w:rPr>
          <w:sz w:val="28"/>
        </w:rPr>
        <w:t xml:space="preserve"> to connect the youth with emergency mental health services or refer the youth for screening and evaluation</w:t>
      </w:r>
      <w:r w:rsidR="00F837C4" w:rsidRPr="00C92DC8">
        <w:rPr>
          <w:sz w:val="28"/>
        </w:rPr>
        <w:t xml:space="preserve">.  </w:t>
      </w:r>
      <w:r w:rsidR="00C92DC8" w:rsidRPr="00C92DC8">
        <w:rPr>
          <w:sz w:val="28"/>
        </w:rPr>
        <w:t xml:space="preserve">The </w:t>
      </w:r>
      <w:r w:rsidR="00B6676E">
        <w:rPr>
          <w:sz w:val="28"/>
        </w:rPr>
        <w:t xml:space="preserve">proposed </w:t>
      </w:r>
      <w:r w:rsidR="00C92DC8" w:rsidRPr="00C92DC8">
        <w:rPr>
          <w:sz w:val="28"/>
        </w:rPr>
        <w:t>CIT-Y training program includes seven components.</w:t>
      </w:r>
      <w:r w:rsidR="00C92DC8" w:rsidRPr="00C92DC8">
        <w:rPr>
          <w:sz w:val="28"/>
          <w:vertAlign w:val="superscript"/>
        </w:rPr>
        <w:footnoteReference w:id="32"/>
      </w:r>
      <w:proofErr w:type="gramStart"/>
      <w:r w:rsidR="00122213">
        <w:rPr>
          <w:sz w:val="28"/>
        </w:rPr>
        <w:t xml:space="preserve"> </w:t>
      </w:r>
      <w:proofErr w:type="gramEnd"/>
      <w:r w:rsidR="00891BB2">
        <w:rPr>
          <w:sz w:val="28"/>
        </w:rPr>
        <w:t>With the relevant Maine s</w:t>
      </w:r>
      <w:r w:rsidR="00C92DC8" w:rsidRPr="00C92DC8">
        <w:rPr>
          <w:sz w:val="28"/>
        </w:rPr>
        <w:t>tatutes</w:t>
      </w:r>
      <w:r w:rsidR="00C92DC8" w:rsidRPr="00C92DC8">
        <w:rPr>
          <w:sz w:val="28"/>
          <w:vertAlign w:val="superscript"/>
        </w:rPr>
        <w:footnoteReference w:id="33"/>
      </w:r>
      <w:r w:rsidR="00C92DC8" w:rsidRPr="00C92DC8">
        <w:rPr>
          <w:sz w:val="28"/>
        </w:rPr>
        <w:t xml:space="preserve"> in mind, </w:t>
      </w:r>
      <w:r w:rsidR="000B1399">
        <w:rPr>
          <w:sz w:val="28"/>
        </w:rPr>
        <w:t>DRM recommends</w:t>
      </w:r>
      <w:r w:rsidR="00C92DC8" w:rsidRPr="00C92DC8">
        <w:rPr>
          <w:sz w:val="28"/>
        </w:rPr>
        <w:t xml:space="preserve"> </w:t>
      </w:r>
      <w:r w:rsidR="000B1399">
        <w:rPr>
          <w:sz w:val="28"/>
        </w:rPr>
        <w:t>exploring the creation of a</w:t>
      </w:r>
      <w:r w:rsidR="00122213">
        <w:rPr>
          <w:sz w:val="28"/>
        </w:rPr>
        <w:t xml:space="preserve"> program such as CIT-Y.</w:t>
      </w:r>
    </w:p>
    <w:p w:rsidR="00C92DC8" w:rsidRPr="00C92DC8" w:rsidRDefault="00C92DC8" w:rsidP="00C92DC8">
      <w:pPr>
        <w:pStyle w:val="NoSpacing"/>
        <w:rPr>
          <w:sz w:val="28"/>
        </w:rPr>
      </w:pPr>
    </w:p>
    <w:p w:rsidR="00C92DC8" w:rsidRDefault="00FA7A17" w:rsidP="00C92DC8">
      <w:pPr>
        <w:pStyle w:val="NoSpacing"/>
        <w:rPr>
          <w:sz w:val="28"/>
        </w:rPr>
      </w:pPr>
      <w:r>
        <w:rPr>
          <w:sz w:val="28"/>
        </w:rPr>
        <w:t xml:space="preserve">In 2015, </w:t>
      </w:r>
      <w:r w:rsidR="00964161">
        <w:rPr>
          <w:sz w:val="28"/>
        </w:rPr>
        <w:t xml:space="preserve">California </w:t>
      </w:r>
      <w:r>
        <w:rPr>
          <w:sz w:val="28"/>
        </w:rPr>
        <w:t>passed a statute to address a related issue</w:t>
      </w:r>
      <w:r w:rsidR="00964161">
        <w:rPr>
          <w:sz w:val="28"/>
        </w:rPr>
        <w:t>.</w:t>
      </w:r>
      <w:r w:rsidR="00C92DC8" w:rsidRPr="00C92DC8">
        <w:rPr>
          <w:sz w:val="28"/>
          <w:vertAlign w:val="superscript"/>
        </w:rPr>
        <w:footnoteReference w:id="34"/>
      </w:r>
      <w:proofErr w:type="gramStart"/>
      <w:r w:rsidR="00C92DC8" w:rsidRPr="00C92DC8">
        <w:rPr>
          <w:sz w:val="28"/>
        </w:rPr>
        <w:t xml:space="preserve"> </w:t>
      </w:r>
      <w:proofErr w:type="gramEnd"/>
      <w:r w:rsidR="00C92DC8" w:rsidRPr="00C92DC8">
        <w:rPr>
          <w:sz w:val="28"/>
        </w:rPr>
        <w:t xml:space="preserve">The aim of AB 388 </w:t>
      </w:r>
      <w:r>
        <w:rPr>
          <w:sz w:val="28"/>
        </w:rPr>
        <w:t>was</w:t>
      </w:r>
      <w:r w:rsidR="00C92DC8" w:rsidRPr="00C92DC8">
        <w:rPr>
          <w:sz w:val="28"/>
        </w:rPr>
        <w:t xml:space="preserve"> to “protect children and youth from being arrested and having charges filed against them due to minor incidents at group homes, and from being needlessly detained in juvenile halls solely due to their foster care status.”</w:t>
      </w:r>
      <w:r w:rsidR="008A4E46">
        <w:rPr>
          <w:rStyle w:val="FootnoteReference"/>
          <w:sz w:val="28"/>
        </w:rPr>
        <w:footnoteReference w:id="35"/>
      </w:r>
      <w:r w:rsidR="00F837C4" w:rsidRPr="00C92DC8">
        <w:rPr>
          <w:sz w:val="28"/>
        </w:rPr>
        <w:t xml:space="preserve">  </w:t>
      </w:r>
      <w:r w:rsidR="00C92DC8" w:rsidRPr="00C92DC8">
        <w:rPr>
          <w:sz w:val="28"/>
        </w:rPr>
        <w:t xml:space="preserve">This bill characterizes “minor incidents” as “fights among peers, conflict with group home </w:t>
      </w:r>
      <w:r w:rsidR="00C92DC8" w:rsidRPr="00C92DC8">
        <w:rPr>
          <w:sz w:val="28"/>
        </w:rPr>
        <w:lastRenderedPageBreak/>
        <w:t>staff, destruction of property, etc.”</w:t>
      </w:r>
      <w:r w:rsidR="00DF0D95">
        <w:rPr>
          <w:rStyle w:val="FootnoteReference"/>
          <w:sz w:val="28"/>
        </w:rPr>
        <w:footnoteReference w:id="36"/>
      </w:r>
      <w:r w:rsidR="00C92DC8" w:rsidRPr="00C92DC8">
        <w:rPr>
          <w:sz w:val="28"/>
        </w:rPr>
        <w:t xml:space="preserve"> </w:t>
      </w:r>
      <w:r w:rsidR="00DA072A">
        <w:rPr>
          <w:sz w:val="28"/>
        </w:rPr>
        <w:t xml:space="preserve"> </w:t>
      </w:r>
      <w:r w:rsidR="00BB0A73">
        <w:rPr>
          <w:sz w:val="28"/>
        </w:rPr>
        <w:t>W</w:t>
      </w:r>
      <w:r w:rsidR="00BB0A73" w:rsidRPr="00C92DC8">
        <w:rPr>
          <w:sz w:val="28"/>
        </w:rPr>
        <w:t>hen a delinquency petition is filed based on allegedly unlawful conduct by a youth</w:t>
      </w:r>
      <w:r>
        <w:rPr>
          <w:sz w:val="28"/>
        </w:rPr>
        <w:t xml:space="preserve"> in foster care</w:t>
      </w:r>
      <w:r w:rsidR="00BB0A73" w:rsidRPr="00C92DC8">
        <w:rPr>
          <w:sz w:val="28"/>
        </w:rPr>
        <w:t xml:space="preserve"> at a group home</w:t>
      </w:r>
      <w:r w:rsidR="00BB0A73">
        <w:rPr>
          <w:sz w:val="28"/>
        </w:rPr>
        <w:t>, t</w:t>
      </w:r>
      <w:r w:rsidR="00C92DC8" w:rsidRPr="00C92DC8">
        <w:rPr>
          <w:sz w:val="28"/>
        </w:rPr>
        <w:t>his bill requires t</w:t>
      </w:r>
      <w:r w:rsidR="00BB0A73">
        <w:rPr>
          <w:sz w:val="28"/>
        </w:rPr>
        <w:t>he juvenile court to determine</w:t>
      </w:r>
      <w:r w:rsidR="00C92DC8" w:rsidRPr="00C92DC8">
        <w:rPr>
          <w:sz w:val="28"/>
        </w:rPr>
        <w:t xml:space="preserve"> whether the petition should be dismissed</w:t>
      </w:r>
      <w:r w:rsidR="00F837C4">
        <w:rPr>
          <w:sz w:val="28"/>
        </w:rPr>
        <w:t xml:space="preserve">.  </w:t>
      </w:r>
      <w:r w:rsidR="00BB0A73">
        <w:rPr>
          <w:sz w:val="28"/>
        </w:rPr>
        <w:t xml:space="preserve">Instead of through a criminal proceeding, </w:t>
      </w:r>
      <w:r w:rsidR="00C92DC8" w:rsidRPr="00C92DC8">
        <w:rPr>
          <w:sz w:val="28"/>
        </w:rPr>
        <w:t>the incident</w:t>
      </w:r>
      <w:r w:rsidR="00BB0A73">
        <w:rPr>
          <w:sz w:val="28"/>
        </w:rPr>
        <w:t xml:space="preserve"> would be</w:t>
      </w:r>
      <w:r w:rsidR="00C92DC8" w:rsidRPr="00C92DC8">
        <w:rPr>
          <w:sz w:val="28"/>
        </w:rPr>
        <w:t xml:space="preserve"> addressed through the group home’s internal therapeutic and behavioral management program, or through a change in placement to a facility better suited to meet the foster youth’s needs.</w:t>
      </w:r>
      <w:r w:rsidR="00BB0A73">
        <w:rPr>
          <w:sz w:val="28"/>
        </w:rPr>
        <w:t xml:space="preserve"> </w:t>
      </w:r>
    </w:p>
    <w:p w:rsidR="00665811" w:rsidRPr="00C92DC8" w:rsidRDefault="00665811" w:rsidP="00C92DC8">
      <w:pPr>
        <w:pStyle w:val="NoSpacing"/>
        <w:rPr>
          <w:sz w:val="28"/>
        </w:rPr>
      </w:pPr>
    </w:p>
    <w:p w:rsidR="00C92DC8" w:rsidRPr="00C92DC8" w:rsidRDefault="004F341E" w:rsidP="00C92DC8">
      <w:pPr>
        <w:pStyle w:val="NoSpacing"/>
        <w:rPr>
          <w:sz w:val="28"/>
        </w:rPr>
      </w:pPr>
      <w:r>
        <w:rPr>
          <w:sz w:val="28"/>
        </w:rPr>
        <w:t xml:space="preserve">Another approach is to fundamentally </w:t>
      </w:r>
      <w:r w:rsidR="00C92DC8" w:rsidRPr="00C92DC8">
        <w:rPr>
          <w:sz w:val="28"/>
        </w:rPr>
        <w:t>change th</w:t>
      </w:r>
      <w:r>
        <w:rPr>
          <w:sz w:val="28"/>
        </w:rPr>
        <w:t>e</w:t>
      </w:r>
      <w:r w:rsidR="00C92DC8" w:rsidRPr="00C92DC8">
        <w:rPr>
          <w:sz w:val="28"/>
        </w:rPr>
        <w:t xml:space="preserve"> system</w:t>
      </w:r>
      <w:r w:rsidR="00F837C4" w:rsidRPr="00C92DC8">
        <w:rPr>
          <w:sz w:val="28"/>
        </w:rPr>
        <w:t xml:space="preserve">.  </w:t>
      </w:r>
      <w:r>
        <w:rPr>
          <w:sz w:val="28"/>
        </w:rPr>
        <w:t>T</w:t>
      </w:r>
      <w:r w:rsidR="00C92DC8" w:rsidRPr="00C92DC8">
        <w:rPr>
          <w:sz w:val="28"/>
        </w:rPr>
        <w:t>he</w:t>
      </w:r>
      <w:r>
        <w:rPr>
          <w:sz w:val="28"/>
        </w:rPr>
        <w:t xml:space="preserve"> Coalition of Juvenile Justice recommends a</w:t>
      </w:r>
      <w:r w:rsidR="00C92DC8" w:rsidRPr="00C92DC8">
        <w:rPr>
          <w:sz w:val="28"/>
        </w:rPr>
        <w:t xml:space="preserve">n infrastructure of </w:t>
      </w:r>
      <w:r>
        <w:rPr>
          <w:sz w:val="28"/>
        </w:rPr>
        <w:t>c</w:t>
      </w:r>
      <w:r w:rsidR="00C92DC8" w:rsidRPr="00C92DC8">
        <w:rPr>
          <w:sz w:val="28"/>
        </w:rPr>
        <w:t>ommunity-based programs and systems to ensure direct access to a seamless, comprehensive and non-judicial continuum of care</w:t>
      </w:r>
      <w:r w:rsidR="00F837C4">
        <w:rPr>
          <w:sz w:val="28"/>
        </w:rPr>
        <w:t xml:space="preserve">.  </w:t>
      </w:r>
      <w:r>
        <w:rPr>
          <w:sz w:val="28"/>
        </w:rPr>
        <w:t>These service providers would be</w:t>
      </w:r>
      <w:r w:rsidR="00C92DC8" w:rsidRPr="00C92DC8">
        <w:rPr>
          <w:sz w:val="28"/>
        </w:rPr>
        <w:t xml:space="preserve"> empowered and resourced to respond to behaviors th</w:t>
      </w:r>
      <w:r w:rsidR="00B06D4F">
        <w:rPr>
          <w:sz w:val="28"/>
        </w:rPr>
        <w:t>at might otherwise be labeled as</w:t>
      </w:r>
      <w:r w:rsidR="00C92DC8" w:rsidRPr="00C92DC8">
        <w:rPr>
          <w:sz w:val="28"/>
        </w:rPr>
        <w:t xml:space="preserve"> status offenses.</w:t>
      </w:r>
      <w:r w:rsidR="00C92DC8" w:rsidRPr="00C92DC8">
        <w:rPr>
          <w:sz w:val="28"/>
          <w:vertAlign w:val="superscript"/>
        </w:rPr>
        <w:footnoteReference w:id="37"/>
      </w:r>
    </w:p>
    <w:p w:rsidR="00C92DC8" w:rsidRPr="00C92DC8" w:rsidRDefault="00C92DC8" w:rsidP="00C92DC8">
      <w:pPr>
        <w:pStyle w:val="NoSpacing"/>
        <w:rPr>
          <w:sz w:val="28"/>
        </w:rPr>
      </w:pPr>
    </w:p>
    <w:p w:rsidR="00C92DC8" w:rsidRDefault="00E963DE" w:rsidP="00C92DC8">
      <w:pPr>
        <w:pStyle w:val="NoSpacing"/>
        <w:rPr>
          <w:sz w:val="28"/>
        </w:rPr>
      </w:pPr>
      <w:r>
        <w:rPr>
          <w:sz w:val="28"/>
        </w:rPr>
        <w:t>Australia is currently working to</w:t>
      </w:r>
      <w:r w:rsidR="00C92DC8" w:rsidRPr="00C92DC8">
        <w:rPr>
          <w:sz w:val="28"/>
        </w:rPr>
        <w:t xml:space="preserve"> reduce reliance on residential care and to transform it from a long-term plac</w:t>
      </w:r>
      <w:r w:rsidR="00665811">
        <w:rPr>
          <w:sz w:val="28"/>
        </w:rPr>
        <w:t>ement option into a short-term</w:t>
      </w:r>
      <w:r>
        <w:rPr>
          <w:sz w:val="28"/>
        </w:rPr>
        <w:t>.</w:t>
      </w:r>
      <w:r w:rsidR="00C92DC8" w:rsidRPr="00C92DC8">
        <w:rPr>
          <w:sz w:val="28"/>
          <w:vertAlign w:val="superscript"/>
        </w:rPr>
        <w:footnoteReference w:id="38"/>
      </w:r>
      <w:r w:rsidR="00C92DC8" w:rsidRPr="00C92DC8">
        <w:rPr>
          <w:sz w:val="28"/>
        </w:rPr>
        <w:t xml:space="preserve"> </w:t>
      </w:r>
      <w:r w:rsidR="005E503A">
        <w:rPr>
          <w:sz w:val="28"/>
        </w:rPr>
        <w:t xml:space="preserve"> </w:t>
      </w:r>
      <w:r w:rsidR="00C92DC8" w:rsidRPr="00C92DC8">
        <w:rPr>
          <w:sz w:val="28"/>
        </w:rPr>
        <w:t xml:space="preserve">Further, to improve support and training for care workers, the government has set aside </w:t>
      </w:r>
      <w:r w:rsidR="00FA7A17">
        <w:rPr>
          <w:sz w:val="28"/>
        </w:rPr>
        <w:t>significant resources</w:t>
      </w:r>
      <w:r w:rsidR="00C92DC8" w:rsidRPr="00C92DC8">
        <w:rPr>
          <w:sz w:val="28"/>
        </w:rPr>
        <w:t xml:space="preserve"> to provide mandate</w:t>
      </w:r>
      <w:r w:rsidR="001B0514">
        <w:rPr>
          <w:sz w:val="28"/>
        </w:rPr>
        <w:t>d</w:t>
      </w:r>
      <w:r w:rsidR="00C92DC8" w:rsidRPr="00C92DC8">
        <w:rPr>
          <w:sz w:val="28"/>
        </w:rPr>
        <w:t xml:space="preserve"> minimum qualification training for residential workers and increase staffing levels per facility. </w:t>
      </w:r>
    </w:p>
    <w:p w:rsidR="007413A7" w:rsidRPr="00C92DC8" w:rsidRDefault="007413A7" w:rsidP="00C92DC8">
      <w:pPr>
        <w:pStyle w:val="NoSpacing"/>
        <w:rPr>
          <w:sz w:val="28"/>
        </w:rPr>
      </w:pPr>
    </w:p>
    <w:p w:rsidR="00C92DC8" w:rsidRPr="00C92DC8" w:rsidRDefault="00A940C1" w:rsidP="00C92DC8">
      <w:pPr>
        <w:pStyle w:val="NoSpacing"/>
        <w:rPr>
          <w:sz w:val="28"/>
        </w:rPr>
      </w:pPr>
      <w:r>
        <w:rPr>
          <w:sz w:val="28"/>
        </w:rPr>
        <w:t xml:space="preserve">New South Wales has an </w:t>
      </w:r>
      <w:r w:rsidR="00A02BA4">
        <w:rPr>
          <w:sz w:val="28"/>
        </w:rPr>
        <w:t>initiative</w:t>
      </w:r>
      <w:r w:rsidR="00C92DC8" w:rsidRPr="00C92DC8">
        <w:rPr>
          <w:sz w:val="28"/>
        </w:rPr>
        <w:t xml:space="preserve"> </w:t>
      </w:r>
      <w:r w:rsidR="00A02BA4">
        <w:rPr>
          <w:sz w:val="28"/>
        </w:rPr>
        <w:t>which</w:t>
      </w:r>
      <w:r w:rsidR="00C92DC8" w:rsidRPr="00C92DC8">
        <w:rPr>
          <w:sz w:val="28"/>
        </w:rPr>
        <w:t xml:space="preserve"> is based on </w:t>
      </w:r>
      <w:r w:rsidR="00FA7A17">
        <w:rPr>
          <w:sz w:val="28"/>
        </w:rPr>
        <w:t xml:space="preserve">the </w:t>
      </w:r>
      <w:r w:rsidR="00C92DC8" w:rsidRPr="00C92DC8">
        <w:rPr>
          <w:sz w:val="28"/>
        </w:rPr>
        <w:t>principles of trauma informed care.</w:t>
      </w:r>
      <w:r w:rsidR="00C92DC8" w:rsidRPr="00C92DC8">
        <w:rPr>
          <w:sz w:val="28"/>
          <w:vertAlign w:val="superscript"/>
        </w:rPr>
        <w:footnoteReference w:id="39"/>
      </w:r>
      <w:r w:rsidR="00C92DC8" w:rsidRPr="00C92DC8">
        <w:rPr>
          <w:sz w:val="28"/>
        </w:rPr>
        <w:t xml:space="preserve"> </w:t>
      </w:r>
      <w:r w:rsidR="005E503A">
        <w:rPr>
          <w:sz w:val="28"/>
        </w:rPr>
        <w:t xml:space="preserve"> </w:t>
      </w:r>
      <w:r w:rsidR="00C92DC8" w:rsidRPr="00C92DC8">
        <w:rPr>
          <w:sz w:val="28"/>
        </w:rPr>
        <w:t>The first objective is to reduce the frequency of police involvement</w:t>
      </w:r>
      <w:r w:rsidR="00C339C7">
        <w:rPr>
          <w:sz w:val="28"/>
        </w:rPr>
        <w:t>,</w:t>
      </w:r>
      <w:r w:rsidR="00C92DC8" w:rsidRPr="00C92DC8">
        <w:rPr>
          <w:sz w:val="28"/>
        </w:rPr>
        <w:t xml:space="preserve"> by ensuring police calls are </w:t>
      </w:r>
      <w:r w:rsidR="00C339C7">
        <w:rPr>
          <w:sz w:val="28"/>
        </w:rPr>
        <w:t>made</w:t>
      </w:r>
      <w:r w:rsidR="00C92DC8" w:rsidRPr="00C92DC8">
        <w:rPr>
          <w:sz w:val="28"/>
        </w:rPr>
        <w:t xml:space="preserve"> only in appropriate circumstances, not for minor misconduct</w:t>
      </w:r>
      <w:r w:rsidR="00F837C4" w:rsidRPr="00C92DC8">
        <w:rPr>
          <w:sz w:val="28"/>
        </w:rPr>
        <w:t xml:space="preserve">.  </w:t>
      </w:r>
      <w:r w:rsidR="00C339C7">
        <w:rPr>
          <w:sz w:val="28"/>
        </w:rPr>
        <w:t xml:space="preserve">The </w:t>
      </w:r>
      <w:r w:rsidR="00C92DC8" w:rsidRPr="00C92DC8">
        <w:rPr>
          <w:sz w:val="28"/>
        </w:rPr>
        <w:t xml:space="preserve">New South Wales </w:t>
      </w:r>
      <w:r w:rsidR="00C339C7">
        <w:rPr>
          <w:sz w:val="28"/>
        </w:rPr>
        <w:t xml:space="preserve">program contains several targeted interventions towards this objective: </w:t>
      </w:r>
      <w:r w:rsidR="00C92DC8" w:rsidRPr="00C92DC8">
        <w:rPr>
          <w:sz w:val="28"/>
        </w:rPr>
        <w:t xml:space="preserve">developing tailored individual </w:t>
      </w:r>
      <w:r w:rsidR="00C339C7">
        <w:rPr>
          <w:sz w:val="28"/>
        </w:rPr>
        <w:t>support plans for each resident;</w:t>
      </w:r>
      <w:r w:rsidR="00C92DC8" w:rsidRPr="00C92DC8">
        <w:rPr>
          <w:sz w:val="28"/>
        </w:rPr>
        <w:t xml:space="preserve"> only calling the police when there is an immediate threat of dan</w:t>
      </w:r>
      <w:r w:rsidR="00C339C7">
        <w:rPr>
          <w:sz w:val="28"/>
        </w:rPr>
        <w:t>ger to staff or other residents,</w:t>
      </w:r>
      <w:r w:rsidR="00C92DC8" w:rsidRPr="00C92DC8">
        <w:rPr>
          <w:sz w:val="28"/>
        </w:rPr>
        <w:t xml:space="preserve"> or </w:t>
      </w:r>
      <w:r w:rsidR="00C339C7">
        <w:rPr>
          <w:sz w:val="28"/>
        </w:rPr>
        <w:t>after</w:t>
      </w:r>
      <w:r w:rsidR="00C92DC8" w:rsidRPr="00C92DC8">
        <w:rPr>
          <w:sz w:val="28"/>
        </w:rPr>
        <w:t xml:space="preserve"> receiving approval </w:t>
      </w:r>
      <w:r w:rsidR="00C339C7">
        <w:rPr>
          <w:sz w:val="28"/>
        </w:rPr>
        <w:t>from a supervisor;</w:t>
      </w:r>
      <w:r w:rsidR="00C92DC8" w:rsidRPr="00C92DC8">
        <w:rPr>
          <w:sz w:val="28"/>
        </w:rPr>
        <w:t xml:space="preserve"> and</w:t>
      </w:r>
      <w:r w:rsidR="00C339C7">
        <w:rPr>
          <w:sz w:val="28"/>
        </w:rPr>
        <w:t>,</w:t>
      </w:r>
      <w:r w:rsidR="00C92DC8" w:rsidRPr="00C92DC8">
        <w:rPr>
          <w:sz w:val="28"/>
        </w:rPr>
        <w:t xml:space="preserve"> lastly, </w:t>
      </w:r>
      <w:r w:rsidR="00C339C7">
        <w:rPr>
          <w:sz w:val="28"/>
        </w:rPr>
        <w:t xml:space="preserve">requiring that </w:t>
      </w:r>
      <w:r w:rsidR="00C92DC8" w:rsidRPr="00C92DC8">
        <w:rPr>
          <w:sz w:val="28"/>
        </w:rPr>
        <w:t xml:space="preserve">when police are called they </w:t>
      </w:r>
      <w:r w:rsidR="00C339C7">
        <w:rPr>
          <w:sz w:val="28"/>
        </w:rPr>
        <w:t>are</w:t>
      </w:r>
      <w:r w:rsidR="00C92DC8" w:rsidRPr="00C92DC8">
        <w:rPr>
          <w:sz w:val="28"/>
        </w:rPr>
        <w:t xml:space="preserve"> given relevant details of the </w:t>
      </w:r>
      <w:r w:rsidR="00B365AE">
        <w:rPr>
          <w:sz w:val="28"/>
        </w:rPr>
        <w:t>youth</w:t>
      </w:r>
      <w:r w:rsidR="00C92DC8" w:rsidRPr="00C92DC8">
        <w:rPr>
          <w:sz w:val="28"/>
        </w:rPr>
        <w:t>’s individual circumstances</w:t>
      </w:r>
      <w:r w:rsidR="00F837C4" w:rsidRPr="00C92DC8">
        <w:rPr>
          <w:sz w:val="28"/>
        </w:rPr>
        <w:t xml:space="preserve">.  </w:t>
      </w:r>
      <w:r w:rsidR="00C92DC8" w:rsidRPr="00C92DC8">
        <w:rPr>
          <w:sz w:val="28"/>
        </w:rPr>
        <w:t xml:space="preserve">The second objective is </w:t>
      </w:r>
      <w:r w:rsidR="00C92DC8" w:rsidRPr="00C92DC8">
        <w:rPr>
          <w:sz w:val="28"/>
        </w:rPr>
        <w:lastRenderedPageBreak/>
        <w:t>to promote the principle that criminal charges against a young person in residential care will not be pursued if there is an alternative and appropriate means of dealing with the matter—arrest should be viewed as a “last resort.”</w:t>
      </w:r>
    </w:p>
    <w:p w:rsidR="00C92DC8" w:rsidRPr="00C92DC8" w:rsidRDefault="00C92DC8" w:rsidP="00C92DC8">
      <w:pPr>
        <w:pStyle w:val="NoSpacing"/>
        <w:rPr>
          <w:sz w:val="28"/>
        </w:rPr>
      </w:pPr>
    </w:p>
    <w:p w:rsidR="000F12C6" w:rsidRPr="000C3590" w:rsidRDefault="00CA6AAC" w:rsidP="000C3590">
      <w:pPr>
        <w:pStyle w:val="NoSpacing"/>
        <w:rPr>
          <w:sz w:val="28"/>
        </w:rPr>
      </w:pPr>
      <w:r>
        <w:rPr>
          <w:sz w:val="28"/>
        </w:rPr>
        <w:t>In Pennsylvania,</w:t>
      </w:r>
      <w:r w:rsidR="00C92DC8" w:rsidRPr="00C92DC8">
        <w:rPr>
          <w:sz w:val="28"/>
        </w:rPr>
        <w:t xml:space="preserve"> the Models for Change Initiative </w:t>
      </w:r>
      <w:r>
        <w:rPr>
          <w:sz w:val="28"/>
        </w:rPr>
        <w:t>includes</w:t>
      </w:r>
      <w:r w:rsidR="00C92DC8" w:rsidRPr="00C92DC8">
        <w:rPr>
          <w:sz w:val="28"/>
        </w:rPr>
        <w:t xml:space="preserve"> a guide to “Pre-Adjudication Diversion Policy and Practice,”</w:t>
      </w:r>
      <w:r w:rsidR="00C92DC8" w:rsidRPr="00C92DC8">
        <w:rPr>
          <w:sz w:val="28"/>
          <w:vertAlign w:val="superscript"/>
        </w:rPr>
        <w:footnoteReference w:id="40"/>
      </w:r>
      <w:r w:rsidR="00CE03D2">
        <w:rPr>
          <w:sz w:val="28"/>
        </w:rPr>
        <w:t xml:space="preserve"> “</w:t>
      </w:r>
      <w:r w:rsidR="00C92DC8" w:rsidRPr="00C92DC8">
        <w:rPr>
          <w:sz w:val="28"/>
        </w:rPr>
        <w:t>a blueprint for creating a model system that responds appropriately to youth with mental health needs who may or do become involved with the juvenile court.”</w:t>
      </w:r>
      <w:r w:rsidR="00C92DC8" w:rsidRPr="00C92DC8">
        <w:rPr>
          <w:sz w:val="28"/>
          <w:vertAlign w:val="superscript"/>
        </w:rPr>
        <w:footnoteReference w:id="41"/>
      </w:r>
      <w:r w:rsidR="00F837C4" w:rsidRPr="00C92DC8">
        <w:rPr>
          <w:sz w:val="28"/>
        </w:rPr>
        <w:t xml:space="preserve">  </w:t>
      </w:r>
      <w:r w:rsidR="00C92DC8" w:rsidRPr="00C92DC8">
        <w:rPr>
          <w:sz w:val="28"/>
        </w:rPr>
        <w:t>This system focuses on pre-adjudication diversion, with the mission to direct youth to a treatment program, when appropriate, instead of incarceration</w:t>
      </w:r>
      <w:r w:rsidR="00F837C4" w:rsidRPr="00C92DC8">
        <w:rPr>
          <w:sz w:val="28"/>
        </w:rPr>
        <w:t xml:space="preserve">.  </w:t>
      </w:r>
      <w:r w:rsidR="00C92DC8" w:rsidRPr="00C92DC8">
        <w:rPr>
          <w:sz w:val="28"/>
        </w:rPr>
        <w:t xml:space="preserve">Additionally, the Pennsylvania Juvenile Act and Rules of Juvenile Court </w:t>
      </w:r>
      <w:r w:rsidR="00CE03D2">
        <w:rPr>
          <w:sz w:val="28"/>
        </w:rPr>
        <w:t xml:space="preserve">provide </w:t>
      </w:r>
      <w:r w:rsidR="00C92DC8" w:rsidRPr="00C92DC8">
        <w:rPr>
          <w:sz w:val="28"/>
        </w:rPr>
        <w:t>for pre-adjudication diversion.</w:t>
      </w:r>
      <w:r w:rsidR="00C92DC8" w:rsidRPr="00C92DC8">
        <w:rPr>
          <w:sz w:val="28"/>
          <w:vertAlign w:val="superscript"/>
        </w:rPr>
        <w:footnoteReference w:id="42"/>
      </w:r>
      <w:r w:rsidR="00C92DC8" w:rsidRPr="00C92DC8">
        <w:rPr>
          <w:sz w:val="28"/>
        </w:rPr>
        <w:t xml:space="preserve"> </w:t>
      </w:r>
      <w:r w:rsidR="005E503A">
        <w:rPr>
          <w:sz w:val="28"/>
        </w:rPr>
        <w:t xml:space="preserve"> </w:t>
      </w:r>
      <w:r w:rsidR="00C92DC8" w:rsidRPr="00C92DC8">
        <w:rPr>
          <w:sz w:val="28"/>
        </w:rPr>
        <w:t xml:space="preserve">The system includes many pre-adjudication intervention strategies, </w:t>
      </w:r>
      <w:r w:rsidR="00A50A7D">
        <w:rPr>
          <w:sz w:val="28"/>
        </w:rPr>
        <w:t>such as</w:t>
      </w:r>
      <w:r w:rsidR="00C92DC8" w:rsidRPr="00C92DC8">
        <w:rPr>
          <w:sz w:val="28"/>
        </w:rPr>
        <w:t xml:space="preserve"> training</w:t>
      </w:r>
      <w:r w:rsidR="00D9147A">
        <w:rPr>
          <w:sz w:val="28"/>
        </w:rPr>
        <w:t xml:space="preserve"> of an intake probation officer</w:t>
      </w:r>
      <w:r w:rsidR="00C92DC8" w:rsidRPr="00C92DC8">
        <w:rPr>
          <w:sz w:val="28"/>
        </w:rPr>
        <w:t xml:space="preserve"> “to enable them to recognize signs and symptoms of mental illnesses, substance abuse disorders, and developmental disabilities</w:t>
      </w:r>
      <w:r w:rsidR="00F837C4" w:rsidRPr="00C92DC8">
        <w:rPr>
          <w:sz w:val="28"/>
        </w:rPr>
        <w:t xml:space="preserve">.  </w:t>
      </w:r>
      <w:r w:rsidR="00C92DC8" w:rsidRPr="00C92DC8">
        <w:rPr>
          <w:sz w:val="28"/>
        </w:rPr>
        <w:t>Written protocols about eligibility requirements and diversion programs available in the community should be developed to provide an objective, consistent framework to guide probation officers in making referrals/recommendations to the court.”</w:t>
      </w:r>
    </w:p>
    <w:sectPr w:rsidR="000F12C6" w:rsidRPr="000C3590" w:rsidSect="008240BE">
      <w:footerReference w:type="default" r:id="rId1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AA" w:rsidRDefault="002207AA" w:rsidP="00C93242">
      <w:pPr>
        <w:spacing w:after="0" w:line="240" w:lineRule="auto"/>
      </w:pPr>
      <w:r>
        <w:separator/>
      </w:r>
    </w:p>
  </w:endnote>
  <w:endnote w:type="continuationSeparator" w:id="0">
    <w:p w:rsidR="002207AA" w:rsidRDefault="002207AA" w:rsidP="00C9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612165"/>
      <w:docPartObj>
        <w:docPartGallery w:val="Page Numbers (Bottom of Page)"/>
        <w:docPartUnique/>
      </w:docPartObj>
    </w:sdtPr>
    <w:sdtEndPr>
      <w:rPr>
        <w:noProof/>
      </w:rPr>
    </w:sdtEndPr>
    <w:sdtContent>
      <w:p w:rsidR="002701AA" w:rsidRPr="008240BE" w:rsidRDefault="002701AA" w:rsidP="008240BE">
        <w:pPr>
          <w:pStyle w:val="Footer"/>
          <w:jc w:val="center"/>
        </w:pPr>
        <w:r w:rsidRPr="008240BE">
          <w:fldChar w:fldCharType="begin"/>
        </w:r>
        <w:r w:rsidRPr="008240BE">
          <w:instrText xml:space="preserve"> PAGE   \* MERGEFORMAT </w:instrText>
        </w:r>
        <w:r w:rsidRPr="008240BE">
          <w:fldChar w:fldCharType="separate"/>
        </w:r>
        <w:r w:rsidR="0039720A">
          <w:rPr>
            <w:noProof/>
          </w:rPr>
          <w:t>22</w:t>
        </w:r>
        <w:r w:rsidRPr="008240BE">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AA" w:rsidRDefault="002207AA" w:rsidP="00C93242">
      <w:pPr>
        <w:spacing w:after="0" w:line="240" w:lineRule="auto"/>
      </w:pPr>
      <w:r>
        <w:separator/>
      </w:r>
    </w:p>
  </w:footnote>
  <w:footnote w:type="continuationSeparator" w:id="0">
    <w:p w:rsidR="002207AA" w:rsidRDefault="002207AA" w:rsidP="00C93242">
      <w:pPr>
        <w:spacing w:after="0" w:line="240" w:lineRule="auto"/>
      </w:pPr>
      <w:r>
        <w:continuationSeparator/>
      </w:r>
    </w:p>
  </w:footnote>
  <w:footnote w:id="1">
    <w:p w:rsidR="002701AA" w:rsidRDefault="002701AA">
      <w:pPr>
        <w:pStyle w:val="FootnoteText"/>
      </w:pPr>
      <w:r>
        <w:rPr>
          <w:rStyle w:val="FootnoteReference"/>
        </w:rPr>
        <w:footnoteRef/>
      </w:r>
      <w:r>
        <w:t xml:space="preserve"> Profile of Youth Committed at Long Creek Youth Development Center as of July 1, 2016 Report.  </w:t>
      </w:r>
      <w:r w:rsidRPr="00FC75E0">
        <w:rPr>
          <w:i/>
        </w:rPr>
        <w:t>Available at</w:t>
      </w:r>
      <w:r>
        <w:t xml:space="preserve"> </w:t>
      </w:r>
      <w:hyperlink r:id="rId1" w:history="1">
        <w:r w:rsidRPr="00382B63">
          <w:rPr>
            <w:rStyle w:val="Hyperlink"/>
          </w:rPr>
          <w:t>http://bangordailynews.com/2017/02/28/uncategorized/document-long-creek-profile-final-report-2016/?ref=relatedSidebar</w:t>
        </w:r>
      </w:hyperlink>
    </w:p>
  </w:footnote>
  <w:footnote w:id="2">
    <w:p w:rsidR="002701AA" w:rsidRDefault="002701AA">
      <w:pPr>
        <w:pStyle w:val="FootnoteText"/>
      </w:pPr>
      <w:r>
        <w:rPr>
          <w:rStyle w:val="FootnoteReference"/>
        </w:rPr>
        <w:footnoteRef/>
      </w:r>
      <w:r>
        <w:t xml:space="preserve"> </w:t>
      </w:r>
      <w:proofErr w:type="gramStart"/>
      <w:r w:rsidRPr="00380A96">
        <w:t>“An Improved Police Response to Juveniles in Crisis: Overview and Discussion: Five Year Trend Analysis (2010-2015),” page 6, Sgt. Jonathan Shapiro M.A., April 2015.</w:t>
      </w:r>
      <w:proofErr w:type="gramEnd"/>
    </w:p>
  </w:footnote>
  <w:footnote w:id="3">
    <w:p w:rsidR="002701AA" w:rsidRPr="00692BF9" w:rsidRDefault="002701AA">
      <w:pPr>
        <w:pStyle w:val="FootnoteText"/>
        <w:rPr>
          <w:highlight w:val="yellow"/>
        </w:rPr>
      </w:pPr>
      <w:r>
        <w:rPr>
          <w:rStyle w:val="FootnoteReference"/>
        </w:rPr>
        <w:footnoteRef/>
      </w:r>
      <w:r>
        <w:t xml:space="preserve"> </w:t>
      </w:r>
      <w:r w:rsidRPr="00FC75E0">
        <w:rPr>
          <w:u w:val="single"/>
        </w:rPr>
        <w:t>See</w:t>
      </w:r>
      <w:r>
        <w:rPr>
          <w:i/>
        </w:rPr>
        <w:t>: e.g.</w:t>
      </w:r>
      <w:r>
        <w:t xml:space="preserve">, 42 U.S.C. </w:t>
      </w:r>
      <w:r>
        <w:rPr>
          <w:rFonts w:cstheme="minorHAnsi"/>
        </w:rPr>
        <w:t>§</w:t>
      </w:r>
      <w:r>
        <w:t xml:space="preserve"> 12101; M.R.S.A. 34-B Chapter 15, </w:t>
      </w:r>
      <w:r>
        <w:rPr>
          <w:rFonts w:cstheme="minorHAnsi"/>
        </w:rPr>
        <w:t xml:space="preserve">§ </w:t>
      </w:r>
      <w:r>
        <w:t>15002(2</w:t>
      </w:r>
      <w:proofErr w:type="gramStart"/>
      <w:r>
        <w:t>)(</w:t>
      </w:r>
      <w:proofErr w:type="gramEnd"/>
      <w:r>
        <w:t xml:space="preserve">A).  </w:t>
      </w:r>
      <w:r w:rsidRPr="00FC75E0">
        <w:rPr>
          <w:u w:val="single"/>
        </w:rPr>
        <w:t>See also:</w:t>
      </w:r>
      <w:r>
        <w:rPr>
          <w:i/>
        </w:rPr>
        <w:t xml:space="preserve"> </w:t>
      </w:r>
      <w:r w:rsidRPr="000511B3">
        <w:rPr>
          <w:i/>
        </w:rPr>
        <w:t>Olmstead v. L.C.</w:t>
      </w:r>
      <w:r w:rsidRPr="00692BF9">
        <w:t>, 527 U.S. 581 (1999).</w:t>
      </w:r>
    </w:p>
  </w:footnote>
  <w:footnote w:id="4">
    <w:p w:rsidR="002701AA" w:rsidRDefault="002701AA">
      <w:pPr>
        <w:pStyle w:val="FootnoteText"/>
      </w:pPr>
      <w:r w:rsidRPr="00FD5D93">
        <w:rPr>
          <w:rStyle w:val="FootnoteReference"/>
        </w:rPr>
        <w:footnoteRef/>
      </w:r>
      <w:r w:rsidRPr="00FD5D93">
        <w:t xml:space="preserve"> </w:t>
      </w:r>
      <w:r>
        <w:t xml:space="preserve">MaineCare Benefits Manual, Chapter II, </w:t>
      </w:r>
      <w:r w:rsidRPr="00FD5D93">
        <w:t>§</w:t>
      </w:r>
      <w:r>
        <w:t xml:space="preserve"> 97.01.</w:t>
      </w:r>
    </w:p>
  </w:footnote>
  <w:footnote w:id="5">
    <w:p w:rsidR="002701AA" w:rsidRPr="000E581B" w:rsidRDefault="002701AA">
      <w:pPr>
        <w:pStyle w:val="FootnoteText"/>
      </w:pPr>
      <w:r w:rsidRPr="000E581B">
        <w:rPr>
          <w:rStyle w:val="FootnoteReference"/>
        </w:rPr>
        <w:footnoteRef/>
      </w:r>
      <w:r w:rsidRPr="000E581B">
        <w:t xml:space="preserve"> MaineCare Benefits Manual, Chapter II, §</w:t>
      </w:r>
      <w:r>
        <w:t xml:space="preserve"> 97.02-7(2)</w:t>
      </w:r>
      <w:r w:rsidRPr="000E581B">
        <w:t>.</w:t>
      </w:r>
    </w:p>
  </w:footnote>
  <w:footnote w:id="6">
    <w:p w:rsidR="002701AA" w:rsidRPr="006E3647" w:rsidRDefault="002701AA">
      <w:pPr>
        <w:pStyle w:val="FootnoteText"/>
      </w:pPr>
      <w:r w:rsidRPr="006E3647">
        <w:rPr>
          <w:rStyle w:val="FootnoteReference"/>
        </w:rPr>
        <w:footnoteRef/>
      </w:r>
      <w:r w:rsidRPr="006E3647">
        <w:t xml:space="preserve"> </w:t>
      </w:r>
      <w:r>
        <w:rPr>
          <w:i/>
        </w:rPr>
        <w:t>Id</w:t>
      </w:r>
      <w:r>
        <w:t>.</w:t>
      </w:r>
    </w:p>
  </w:footnote>
  <w:footnote w:id="7">
    <w:p w:rsidR="002701AA" w:rsidRDefault="002701AA">
      <w:pPr>
        <w:pStyle w:val="FootnoteText"/>
      </w:pPr>
      <w:r>
        <w:rPr>
          <w:rStyle w:val="FootnoteReference"/>
        </w:rPr>
        <w:footnoteRef/>
      </w:r>
      <w:r>
        <w:t xml:space="preserve"> </w:t>
      </w:r>
      <w:r w:rsidRPr="00377A97">
        <w:t xml:space="preserve">MaineCare Benefits Manual </w:t>
      </w:r>
      <w:r>
        <w:t xml:space="preserve">Chapter II, </w:t>
      </w:r>
      <w:r>
        <w:rPr>
          <w:rFonts w:cstheme="minorHAnsi"/>
        </w:rPr>
        <w:t>§</w:t>
      </w:r>
      <w:r>
        <w:t xml:space="preserve"> 97.02-1 and 2.</w:t>
      </w:r>
    </w:p>
  </w:footnote>
  <w:footnote w:id="8">
    <w:p w:rsidR="002701AA" w:rsidRDefault="002701AA">
      <w:pPr>
        <w:pStyle w:val="FootnoteText"/>
      </w:pPr>
      <w:r>
        <w:rPr>
          <w:rStyle w:val="FootnoteReference"/>
        </w:rPr>
        <w:footnoteRef/>
      </w:r>
      <w:r>
        <w:t xml:space="preserve"> These providers are: Spurwink, Sweetser, KidsPeace, NFI-North, Becket Family Services, Aroostook Mental Health Care (AMHC), Opportunity Alliance, and The Northern Lighthouse Inc.</w:t>
      </w:r>
    </w:p>
  </w:footnote>
  <w:footnote w:id="9">
    <w:p w:rsidR="002701AA" w:rsidRDefault="002701AA">
      <w:pPr>
        <w:pStyle w:val="FootnoteText"/>
      </w:pPr>
      <w:r>
        <w:rPr>
          <w:rStyle w:val="FootnoteReference"/>
        </w:rPr>
        <w:footnoteRef/>
      </w:r>
      <w:r>
        <w:t xml:space="preserve"> “</w:t>
      </w:r>
      <w:r w:rsidRPr="00B113AA">
        <w:t>Child Mental Health PNMI Bed Occupancy Daily Report</w:t>
      </w:r>
      <w:r>
        <w:t xml:space="preserve">,” KEPRO, </w:t>
      </w:r>
      <w:r w:rsidRPr="00FC75E0">
        <w:rPr>
          <w:i/>
        </w:rPr>
        <w:t>available at</w:t>
      </w:r>
      <w:r>
        <w:t xml:space="preserve"> </w:t>
      </w:r>
      <w:hyperlink r:id="rId2" w:history="1">
        <w:r w:rsidRPr="00382B63">
          <w:rPr>
            <w:rStyle w:val="Hyperlink"/>
          </w:rPr>
          <w:t>http://www.qualitycareforme.com/media/1465/pnmi-bed-occupancy-child-mh.xls</w:t>
        </w:r>
      </w:hyperlink>
    </w:p>
  </w:footnote>
  <w:footnote w:id="10">
    <w:p w:rsidR="002701AA" w:rsidRDefault="002701AA">
      <w:pPr>
        <w:pStyle w:val="FootnoteText"/>
      </w:pPr>
      <w:r>
        <w:rPr>
          <w:rStyle w:val="FootnoteReference"/>
        </w:rPr>
        <w:footnoteRef/>
      </w:r>
      <w:r>
        <w:t xml:space="preserve"> MaineCare Benefits Manual, Chapter II, </w:t>
      </w:r>
      <w:r>
        <w:rPr>
          <w:rFonts w:cstheme="minorHAnsi"/>
        </w:rPr>
        <w:t xml:space="preserve">§ </w:t>
      </w:r>
      <w:r w:rsidRPr="00287A46">
        <w:t>65.06-1</w:t>
      </w:r>
      <w:r>
        <w:t>.</w:t>
      </w:r>
    </w:p>
  </w:footnote>
  <w:footnote w:id="11">
    <w:p w:rsidR="002701AA" w:rsidRDefault="002701AA">
      <w:pPr>
        <w:pStyle w:val="FootnoteText"/>
      </w:pPr>
      <w:r>
        <w:rPr>
          <w:rStyle w:val="FootnoteReference"/>
        </w:rPr>
        <w:footnoteRef/>
      </w:r>
      <w:r>
        <w:t xml:space="preserve"> The reasons behind this deserve further exploration.  Anecdotally, parents report that when they call the crisis hotline, they are often told that they may have to wait hours for a crisis worker to come to the home, and they are advised to go the emergency department and/or call law enforcement.</w:t>
      </w:r>
    </w:p>
  </w:footnote>
  <w:footnote w:id="12">
    <w:p w:rsidR="002701AA" w:rsidRDefault="002701AA" w:rsidP="008C79AB">
      <w:pPr>
        <w:pStyle w:val="FootnoteText"/>
      </w:pPr>
      <w:r>
        <w:rPr>
          <w:rStyle w:val="FootnoteReference"/>
        </w:rPr>
        <w:footnoteRef/>
      </w:r>
      <w:r>
        <w:t xml:space="preserve"> “</w:t>
      </w:r>
      <w:r w:rsidRPr="001A1489">
        <w:t>Staff providing Crisis Services must have an MHRT (Mental Health Rehabilitation Technician) Certification at the level appropriate for the services being delivered.  Supervisors of MHRT staff must be clinicians as defined in 65.02-11, within the scope of their licensure.</w:t>
      </w:r>
      <w:r>
        <w:t xml:space="preserve">”  MaineCare Benefits Manual, Chapter II, </w:t>
      </w:r>
      <w:r>
        <w:rPr>
          <w:rFonts w:cstheme="minorHAnsi"/>
        </w:rPr>
        <w:t xml:space="preserve">§ </w:t>
      </w:r>
      <w:r>
        <w:t>65.06-1.</w:t>
      </w:r>
    </w:p>
  </w:footnote>
  <w:footnote w:id="13">
    <w:p w:rsidR="002701AA" w:rsidRDefault="002701AA">
      <w:pPr>
        <w:pStyle w:val="FootnoteText"/>
      </w:pPr>
      <w:r>
        <w:rPr>
          <w:rStyle w:val="FootnoteReference"/>
        </w:rPr>
        <w:footnoteRef/>
      </w:r>
      <w:r>
        <w:t xml:space="preserve"> </w:t>
      </w:r>
      <w:r w:rsidRPr="0066385A">
        <w:t>In July 2015, Mountain View Youth Development Center in Charleston, Maine stopped serving committed youth and transferred its committed population to Long Creek</w:t>
      </w:r>
      <w:r>
        <w:t xml:space="preserve">.  But </w:t>
      </w:r>
      <w:r w:rsidRPr="0066385A">
        <w:t>youth are still sometimes detained at Mountain View while awaiting adjudication.</w:t>
      </w:r>
    </w:p>
  </w:footnote>
  <w:footnote w:id="14">
    <w:p w:rsidR="002701AA" w:rsidRPr="00A30808" w:rsidRDefault="002701AA" w:rsidP="0052509C">
      <w:pPr>
        <w:pStyle w:val="FootnoteText"/>
        <w:rPr>
          <w:rFonts w:ascii="Times New Roman" w:hAnsi="Times New Roman" w:cs="Times New Roman"/>
        </w:rPr>
      </w:pPr>
      <w:r w:rsidRPr="00A30808">
        <w:rPr>
          <w:rStyle w:val="FootnoteReference"/>
          <w:rFonts w:ascii="Times New Roman" w:hAnsi="Times New Roman" w:cs="Times New Roman"/>
        </w:rPr>
        <w:footnoteRef/>
      </w:r>
      <w:r w:rsidRPr="00A30808">
        <w:rPr>
          <w:rFonts w:ascii="Times New Roman" w:hAnsi="Times New Roman" w:cs="Times New Roman"/>
        </w:rPr>
        <w:t xml:space="preserve"> </w:t>
      </w:r>
      <w:r>
        <w:t xml:space="preserve">Profile of Youth Committed at Long Creek Youth Development Center as of July 1, 2016 Report.  </w:t>
      </w:r>
      <w:r w:rsidRPr="00FC75E0">
        <w:rPr>
          <w:i/>
        </w:rPr>
        <w:t>Available at:</w:t>
      </w:r>
      <w:r>
        <w:t xml:space="preserve"> </w:t>
      </w:r>
      <w:hyperlink r:id="rId3" w:history="1">
        <w:r w:rsidRPr="00382B63">
          <w:rPr>
            <w:rStyle w:val="Hyperlink"/>
          </w:rPr>
          <w:t>http://bangordailynews.com/2017/02/28/uncategorized/document-long-creek-profile-final-report-2016/?ref=relatedSidebar</w:t>
        </w:r>
      </w:hyperlink>
    </w:p>
  </w:footnote>
  <w:footnote w:id="15">
    <w:p w:rsidR="002701AA" w:rsidRDefault="002701AA">
      <w:pPr>
        <w:pStyle w:val="FootnoteText"/>
      </w:pPr>
      <w:r>
        <w:rPr>
          <w:rStyle w:val="FootnoteReference"/>
        </w:rPr>
        <w:footnoteRef/>
      </w:r>
      <w:r>
        <w:t xml:space="preserve"> Long Creek Board of Visitors Annual Report FY’16, page 2.  </w:t>
      </w:r>
      <w:r w:rsidRPr="00FC75E0">
        <w:rPr>
          <w:i/>
        </w:rPr>
        <w:t>Available at</w:t>
      </w:r>
      <w:r>
        <w:t xml:space="preserve">: </w:t>
      </w:r>
      <w:hyperlink r:id="rId4" w:history="1">
        <w:r w:rsidRPr="00382B63">
          <w:rPr>
            <w:rStyle w:val="Hyperlink"/>
          </w:rPr>
          <w:t>http://www.pressherald.com/media/document/long-creek-board-visitors-2016-report/</w:t>
        </w:r>
      </w:hyperlink>
    </w:p>
  </w:footnote>
  <w:footnote w:id="16">
    <w:p w:rsidR="002701AA" w:rsidRDefault="002701AA" w:rsidP="002453C0">
      <w:pPr>
        <w:pStyle w:val="FootnoteText"/>
      </w:pPr>
      <w:r>
        <w:rPr>
          <w:rStyle w:val="FootnoteReference"/>
        </w:rPr>
        <w:footnoteRef/>
      </w:r>
      <w:r>
        <w:t xml:space="preserve"> Residential providers are required to make reports to DHHS about categories of incidents that include Dangerous Situations, Death, Medication Related Event, Neglect, Physical/Verbal Abuse, Restraint, Rights Violation, </w:t>
      </w:r>
      <w:proofErr w:type="gramStart"/>
      <w:r>
        <w:t>Serious</w:t>
      </w:r>
      <w:proofErr w:type="gramEnd"/>
      <w:r>
        <w:t xml:space="preserve"> Injury to Consumer, Sexual Abuse/Exploitation, and Suicidal Acts/Attempts/Threats.  </w:t>
      </w:r>
      <w:r w:rsidRPr="00FC75E0">
        <w:rPr>
          <w:u w:val="single"/>
        </w:rPr>
        <w:t>See</w:t>
      </w:r>
      <w:r>
        <w:t xml:space="preserve">: </w:t>
      </w:r>
      <w:hyperlink r:id="rId5" w:history="1">
        <w:r w:rsidRPr="00382B63">
          <w:rPr>
            <w:rStyle w:val="Hyperlink"/>
          </w:rPr>
          <w:t>http://www.maine.gov/dhhs/ocfs/cbhs/provider/reportable-events.shtml</w:t>
        </w:r>
      </w:hyperlink>
    </w:p>
  </w:footnote>
  <w:footnote w:id="17">
    <w:p w:rsidR="002701AA" w:rsidRDefault="002701AA">
      <w:pPr>
        <w:pStyle w:val="FootnoteText"/>
      </w:pPr>
      <w:r>
        <w:rPr>
          <w:rStyle w:val="FootnoteReference"/>
        </w:rPr>
        <w:footnoteRef/>
      </w:r>
      <w:r>
        <w:t xml:space="preserve"> Reportable Events Matrix (updated 1/2017) available at </w:t>
      </w:r>
      <w:hyperlink r:id="rId6" w:history="1">
        <w:r w:rsidRPr="00DF6518">
          <w:rPr>
            <w:rStyle w:val="Hyperlink"/>
          </w:rPr>
          <w:t>http://www.maine.gov/dhhs/ocfs/cbhs/provider/documents/OCFSReportableEventsMatrix3.20.17.docx</w:t>
        </w:r>
      </w:hyperlink>
    </w:p>
    <w:p w:rsidR="002701AA" w:rsidRDefault="002701AA">
      <w:pPr>
        <w:pStyle w:val="FootnoteText"/>
      </w:pPr>
    </w:p>
  </w:footnote>
  <w:footnote w:id="18">
    <w:p w:rsidR="002701AA" w:rsidRDefault="002701AA">
      <w:pPr>
        <w:pStyle w:val="FootnoteText"/>
      </w:pPr>
      <w:r>
        <w:rPr>
          <w:rStyle w:val="FootnoteReference"/>
        </w:rPr>
        <w:footnoteRef/>
      </w:r>
      <w:r>
        <w:t xml:space="preserve"> T</w:t>
      </w:r>
      <w:r w:rsidRPr="00BB0C57">
        <w:t>he majority of calls to law enforcement in the “Runaway</w:t>
      </w:r>
      <w:r>
        <w:t>/Missing</w:t>
      </w:r>
      <w:r w:rsidRPr="00BB0C57">
        <w:t>” category</w:t>
      </w:r>
      <w:r>
        <w:t xml:space="preserve"> </w:t>
      </w:r>
      <w:r w:rsidRPr="00BB0C57">
        <w:t xml:space="preserve">are from a single program—Sweetser in Saco.  </w:t>
      </w:r>
      <w:r>
        <w:t>Sweetser has previously reported that its</w:t>
      </w:r>
      <w:r w:rsidRPr="00BB0C57">
        <w:t xml:space="preserve"> practice at this program is to not follow youth into the woods surrounding the property.  Instead, they contact law enforcement</w:t>
      </w:r>
      <w:r>
        <w:t>.</w:t>
      </w:r>
    </w:p>
  </w:footnote>
  <w:footnote w:id="19">
    <w:p w:rsidR="002701AA" w:rsidRDefault="002701AA">
      <w:pPr>
        <w:pStyle w:val="FootnoteText"/>
      </w:pPr>
      <w:r>
        <w:rPr>
          <w:rStyle w:val="FootnoteReference"/>
        </w:rPr>
        <w:footnoteRef/>
      </w:r>
      <w:r>
        <w:t xml:space="preserve"> Juvenile Community Corrections Officer.  </w:t>
      </w:r>
      <w:hyperlink r:id="rId7" w:history="1">
        <w:r w:rsidRPr="00382B63">
          <w:rPr>
            <w:rStyle w:val="Hyperlink"/>
          </w:rPr>
          <w:t>https://www1.maine.gov/corrections/juvenile/Community/index.htm</w:t>
        </w:r>
      </w:hyperlink>
    </w:p>
  </w:footnote>
  <w:footnote w:id="20">
    <w:p w:rsidR="002701AA" w:rsidRDefault="002701AA">
      <w:pPr>
        <w:pStyle w:val="FootnoteText"/>
      </w:pPr>
      <w:r>
        <w:rPr>
          <w:rStyle w:val="FootnoteReference"/>
        </w:rPr>
        <w:footnoteRef/>
      </w:r>
      <w:r>
        <w:t xml:space="preserve"> </w:t>
      </w:r>
      <w:r w:rsidRPr="003F6E6E">
        <w:t xml:space="preserve">This type of collaborative approach has also been designed in York County, which utilizes a Jurisdictional Team Planning (“JTP”) Group and a York County JTP Case Review Team.  See “An Improved Police Response to Juveniles in Crisis: A Collaborative Approach,” Appendices D and E, Jonathan J. Shapiro, 2011, available at </w:t>
      </w:r>
      <w:hyperlink r:id="rId8" w:history="1">
        <w:r w:rsidRPr="00DF6518">
          <w:rPr>
            <w:rStyle w:val="Hyperlink"/>
          </w:rPr>
          <w:t>http://www.iacpyouth.org/Portals/0/Content_Files/An%20Improved%20Police%20Response%20to%20Juveniles%20in%20Crisis.pdf</w:t>
        </w:r>
      </w:hyperlink>
      <w:r w:rsidRPr="003F6E6E">
        <w:t>.</w:t>
      </w:r>
    </w:p>
    <w:p w:rsidR="002701AA" w:rsidRDefault="002701AA">
      <w:pPr>
        <w:pStyle w:val="FootnoteText"/>
      </w:pPr>
    </w:p>
  </w:footnote>
  <w:footnote w:id="21">
    <w:p w:rsidR="002701AA" w:rsidRDefault="002701AA">
      <w:pPr>
        <w:pStyle w:val="FootnoteText"/>
      </w:pPr>
      <w:r>
        <w:rPr>
          <w:rStyle w:val="FootnoteReference"/>
        </w:rPr>
        <w:footnoteRef/>
      </w:r>
      <w:r>
        <w:t xml:space="preserve"> It is worth noting that residential programs also discharge youth to emergency departments and psychiatric hospitals.  This practice, too, is problematic and worthy of further exploration and reform.  If a particular setting is determined not to be appropriate for a youth, they should be moved to an appropriate setting through careful discharge planning, instead of using law enforcement to bring about a discharge to a psychiatric hospital or correctional facility.</w:t>
      </w:r>
    </w:p>
  </w:footnote>
  <w:footnote w:id="22">
    <w:p w:rsidR="002701AA" w:rsidRDefault="002701AA" w:rsidP="003F6E6E">
      <w:pPr>
        <w:pStyle w:val="FootnoteText"/>
      </w:pPr>
      <w:r>
        <w:rPr>
          <w:rStyle w:val="FootnoteReference"/>
        </w:rPr>
        <w:footnoteRef/>
      </w:r>
      <w:r>
        <w:t xml:space="preserve"> </w:t>
      </w:r>
      <w:r w:rsidRPr="005A5AA9">
        <w:rPr>
          <w:u w:val="single"/>
        </w:rPr>
        <w:t>See</w:t>
      </w:r>
      <w:r>
        <w:t xml:space="preserve"> </w:t>
      </w:r>
      <w:hyperlink r:id="rId9" w:history="1">
        <w:r w:rsidRPr="00C819CC">
          <w:rPr>
            <w:rStyle w:val="Hyperlink"/>
          </w:rPr>
          <w:t>http://www.namimaine.org/?page=MHFA</w:t>
        </w:r>
      </w:hyperlink>
      <w:r>
        <w:t>.</w:t>
      </w:r>
    </w:p>
  </w:footnote>
  <w:footnote w:id="23">
    <w:p w:rsidR="002701AA" w:rsidRPr="00B82819" w:rsidRDefault="002701AA" w:rsidP="003F6E6E">
      <w:pPr>
        <w:pStyle w:val="FootnoteText"/>
      </w:pPr>
      <w:r>
        <w:rPr>
          <w:rStyle w:val="FootnoteReference"/>
        </w:rPr>
        <w:footnoteRef/>
      </w:r>
      <w:r>
        <w:t xml:space="preserve"> </w:t>
      </w:r>
      <w:r>
        <w:rPr>
          <w:u w:val="single"/>
        </w:rPr>
        <w:t>See</w:t>
      </w:r>
      <w:r>
        <w:t xml:space="preserve"> “An Improved Police Response to Juveniles in Crisis: A Collaborative Approach,” Appendix B, Jonathan J. Shapiro, 2011, </w:t>
      </w:r>
      <w:r>
        <w:rPr>
          <w:i/>
        </w:rPr>
        <w:t xml:space="preserve">available at </w:t>
      </w:r>
      <w:hyperlink r:id="rId10" w:history="1">
        <w:r w:rsidRPr="00C819CC">
          <w:rPr>
            <w:rStyle w:val="Hyperlink"/>
          </w:rPr>
          <w:t>http://www.iacpyouth.org/Portals/0/Content_Files/An%20Improved%20Police%20Response%20to%20Juveniles%20in%20Crisis.pdf</w:t>
        </w:r>
      </w:hyperlink>
      <w:r>
        <w:t>.</w:t>
      </w:r>
    </w:p>
  </w:footnote>
  <w:footnote w:id="24">
    <w:p w:rsidR="002701AA" w:rsidRDefault="002701AA" w:rsidP="003F6E6E">
      <w:pPr>
        <w:pStyle w:val="FootnoteText"/>
        <w:contextualSpacing/>
      </w:pPr>
      <w:r>
        <w:rPr>
          <w:rStyle w:val="FootnoteReference"/>
        </w:rPr>
        <w:footnoteRef/>
      </w:r>
      <w:r>
        <w:t xml:space="preserve"> </w:t>
      </w:r>
      <w:proofErr w:type="gramStart"/>
      <w:r>
        <w:t xml:space="preserve">“An Improved Police Response to Juveniles in Crisis: A Collaborative Approach,” Jonathan J. Shapiro, 2011, </w:t>
      </w:r>
      <w:r>
        <w:rPr>
          <w:i/>
        </w:rPr>
        <w:t xml:space="preserve">available at </w:t>
      </w:r>
      <w:hyperlink r:id="rId11" w:history="1">
        <w:r w:rsidRPr="00C819CC">
          <w:rPr>
            <w:rStyle w:val="Hyperlink"/>
          </w:rPr>
          <w:t>http://www.iacpyouth.org/Portals/0/Content_Files/An%20Improved%20Police%20Response%20to%20Juveniles%20in%20Crisis.pdf</w:t>
        </w:r>
      </w:hyperlink>
      <w:r>
        <w:t>.</w:t>
      </w:r>
      <w:proofErr w:type="gramEnd"/>
    </w:p>
  </w:footnote>
  <w:footnote w:id="25">
    <w:p w:rsidR="002701AA" w:rsidRPr="003F4E82" w:rsidRDefault="002701AA" w:rsidP="003F6E6E">
      <w:pPr>
        <w:pStyle w:val="FootnoteText"/>
        <w:contextualSpacing/>
      </w:pPr>
      <w:r>
        <w:rPr>
          <w:rStyle w:val="FootnoteReference"/>
        </w:rPr>
        <w:footnoteRef/>
      </w:r>
      <w:r>
        <w:t xml:space="preserve"> </w:t>
      </w:r>
      <w:proofErr w:type="gramStart"/>
      <w:r>
        <w:rPr>
          <w:i/>
        </w:rPr>
        <w:t>Id</w:t>
      </w:r>
      <w:r>
        <w:t>. at 7.</w:t>
      </w:r>
      <w:proofErr w:type="gramEnd"/>
    </w:p>
  </w:footnote>
  <w:footnote w:id="26">
    <w:p w:rsidR="002701AA" w:rsidRPr="00B4740E" w:rsidRDefault="002701AA" w:rsidP="003F6E6E">
      <w:pPr>
        <w:pStyle w:val="FootnoteText"/>
      </w:pPr>
      <w:r>
        <w:rPr>
          <w:rStyle w:val="FootnoteReference"/>
        </w:rPr>
        <w:footnoteRef/>
      </w:r>
      <w:r>
        <w:t xml:space="preserve"> </w:t>
      </w:r>
      <w:proofErr w:type="gramStart"/>
      <w:r>
        <w:rPr>
          <w:i/>
        </w:rPr>
        <w:t>Id</w:t>
      </w:r>
      <w:r>
        <w:t>. at 13.</w:t>
      </w:r>
      <w:proofErr w:type="gramEnd"/>
    </w:p>
  </w:footnote>
  <w:footnote w:id="27">
    <w:p w:rsidR="002701AA" w:rsidRDefault="002701AA" w:rsidP="003F6E6E">
      <w:pPr>
        <w:pStyle w:val="FootnoteText"/>
      </w:pPr>
      <w:r>
        <w:rPr>
          <w:rStyle w:val="FootnoteReference"/>
        </w:rPr>
        <w:footnoteRef/>
      </w:r>
      <w:r>
        <w:t xml:space="preserve"> </w:t>
      </w:r>
      <w:r>
        <w:rPr>
          <w:i/>
        </w:rPr>
        <w:t>Id</w:t>
      </w:r>
      <w:r>
        <w:t>. at Appendix B.</w:t>
      </w:r>
    </w:p>
  </w:footnote>
  <w:footnote w:id="28">
    <w:p w:rsidR="002701AA" w:rsidRPr="0052509C" w:rsidRDefault="002701AA" w:rsidP="0052509C">
      <w:pPr>
        <w:pStyle w:val="FootnoteText"/>
        <w:rPr>
          <w:rFonts w:cstheme="minorHAnsi"/>
        </w:rPr>
      </w:pPr>
      <w:r w:rsidRPr="009B2CF1">
        <w:rPr>
          <w:rStyle w:val="FootnoteReference"/>
          <w:rFonts w:cstheme="minorHAnsi"/>
        </w:rPr>
        <w:footnoteRef/>
      </w:r>
      <w:r w:rsidRPr="009B2CF1">
        <w:rPr>
          <w:rFonts w:cstheme="minorHAnsi"/>
        </w:rPr>
        <w:t xml:space="preserve"> </w:t>
      </w:r>
      <w:r>
        <w:rPr>
          <w:rFonts w:cstheme="minorHAnsi"/>
        </w:rPr>
        <w:t>Children’s Behavioral Health Initiative</w:t>
      </w:r>
      <w:r w:rsidRPr="0052509C">
        <w:t xml:space="preserve"> </w:t>
      </w:r>
      <w:r>
        <w:rPr>
          <w:rFonts w:cstheme="minorHAnsi"/>
        </w:rPr>
        <w:t xml:space="preserve">Mobile Crisis Intervention </w:t>
      </w:r>
      <w:r w:rsidRPr="0052509C">
        <w:rPr>
          <w:rFonts w:cstheme="minorHAnsi"/>
        </w:rPr>
        <w:t>Practice Guidelines</w:t>
      </w:r>
      <w:r>
        <w:rPr>
          <w:rFonts w:cstheme="minorHAnsi"/>
        </w:rPr>
        <w:t>, 1/2015.  Available at</w:t>
      </w:r>
    </w:p>
    <w:p w:rsidR="002701AA" w:rsidRPr="009B2CF1" w:rsidRDefault="002701AA" w:rsidP="00C92DC8">
      <w:pPr>
        <w:pStyle w:val="FootnoteText"/>
        <w:rPr>
          <w:rFonts w:cstheme="minorHAnsi"/>
        </w:rPr>
      </w:pPr>
      <w:r>
        <w:rPr>
          <w:rFonts w:cstheme="minorHAnsi"/>
        </w:rPr>
        <w:t xml:space="preserve"> </w:t>
      </w:r>
      <w:hyperlink r:id="rId12" w:history="1">
        <w:r w:rsidRPr="00382B63">
          <w:rPr>
            <w:rStyle w:val="Hyperlink"/>
            <w:rFonts w:cstheme="minorHAnsi"/>
          </w:rPr>
          <w:t>http://www.mass.gov/eohhs/docs/masshealth/cbhi/practice-guidelines-mci.doc</w:t>
        </w:r>
      </w:hyperlink>
    </w:p>
  </w:footnote>
  <w:footnote w:id="29">
    <w:p w:rsidR="002701AA" w:rsidRPr="005D56C9" w:rsidRDefault="002701AA" w:rsidP="00C92DC8">
      <w:pPr>
        <w:pStyle w:val="FootnoteText"/>
        <w:rPr>
          <w:rFonts w:cstheme="minorHAnsi"/>
        </w:rPr>
      </w:pPr>
      <w:r w:rsidRPr="00C35A04">
        <w:rPr>
          <w:rStyle w:val="FootnoteReference"/>
          <w:rFonts w:ascii="Times New Roman" w:hAnsi="Times New Roman" w:cs="Times New Roman"/>
        </w:rPr>
        <w:footnoteRef/>
      </w:r>
      <w:r w:rsidRPr="00C35A04">
        <w:rPr>
          <w:rFonts w:ascii="Times New Roman" w:hAnsi="Times New Roman" w:cs="Times New Roman"/>
        </w:rPr>
        <w:t xml:space="preserve"> </w:t>
      </w:r>
      <w:r>
        <w:rPr>
          <w:rFonts w:cstheme="minorHAnsi"/>
        </w:rPr>
        <w:t xml:space="preserve">“Law-Enforcement Based Diversion,” </w:t>
      </w:r>
      <w:r>
        <w:t>National Center for Mental Health and Juvenile Justice</w:t>
      </w:r>
      <w:r>
        <w:rPr>
          <w:rFonts w:cstheme="minorHAnsi"/>
        </w:rPr>
        <w:t xml:space="preserve">, 2012.  Available at </w:t>
      </w:r>
      <w:hyperlink r:id="rId13" w:history="1">
        <w:r w:rsidRPr="00382B63">
          <w:rPr>
            <w:rStyle w:val="Hyperlink"/>
            <w:rFonts w:cstheme="minorHAnsi"/>
          </w:rPr>
          <w:t>https://www.ncmhjj.com/wp-content/uploads/2013/07/CIT-Y-Brief-2012.pdf</w:t>
        </w:r>
      </w:hyperlink>
      <w:r>
        <w:rPr>
          <w:rFonts w:cstheme="minorHAnsi"/>
        </w:rPr>
        <w:t>).</w:t>
      </w:r>
    </w:p>
  </w:footnote>
  <w:footnote w:id="30">
    <w:p w:rsidR="002701AA" w:rsidRPr="005D56C9" w:rsidRDefault="002701AA" w:rsidP="00C92DC8">
      <w:pPr>
        <w:pStyle w:val="FootnoteText"/>
        <w:rPr>
          <w:rFonts w:cstheme="minorHAnsi"/>
        </w:rPr>
      </w:pPr>
      <w:r w:rsidRPr="005D56C9">
        <w:rPr>
          <w:rStyle w:val="FootnoteReference"/>
          <w:rFonts w:cstheme="minorHAnsi"/>
        </w:rPr>
        <w:footnoteRef/>
      </w:r>
      <w:r w:rsidRPr="005D56C9">
        <w:rPr>
          <w:rFonts w:cstheme="minorHAnsi"/>
        </w:rPr>
        <w:t xml:space="preserve"> </w:t>
      </w:r>
      <w:r>
        <w:rPr>
          <w:rFonts w:cstheme="minorHAnsi"/>
        </w:rPr>
        <w:t xml:space="preserve">“Law-Enforcement Based Diversion,” </w:t>
      </w:r>
      <w:r>
        <w:t>National Center for Mental Health and Juvenile Justice</w:t>
      </w:r>
      <w:r>
        <w:rPr>
          <w:rFonts w:cstheme="minorHAnsi"/>
        </w:rPr>
        <w:t xml:space="preserve">, 2012, page 3 (available at </w:t>
      </w:r>
      <w:hyperlink r:id="rId14" w:history="1">
        <w:r w:rsidRPr="00382B63">
          <w:rPr>
            <w:rStyle w:val="Hyperlink"/>
            <w:rFonts w:cstheme="minorHAnsi"/>
          </w:rPr>
          <w:t>https://www.ncmhjj.com/wp-content/uploads/2013/07/CIT-Y-Brief-2012.pdf</w:t>
        </w:r>
      </w:hyperlink>
      <w:r>
        <w:rPr>
          <w:rFonts w:cstheme="minorHAnsi"/>
        </w:rPr>
        <w:t>).</w:t>
      </w:r>
    </w:p>
  </w:footnote>
  <w:footnote w:id="31">
    <w:p w:rsidR="002701AA" w:rsidRPr="005D56C9" w:rsidRDefault="002701AA" w:rsidP="00C92DC8">
      <w:pPr>
        <w:pStyle w:val="FootnoteText"/>
        <w:rPr>
          <w:rFonts w:cstheme="minorHAnsi"/>
        </w:rPr>
      </w:pPr>
      <w:r w:rsidRPr="005D56C9">
        <w:rPr>
          <w:rStyle w:val="FootnoteReference"/>
          <w:rFonts w:cstheme="minorHAnsi"/>
        </w:rPr>
        <w:footnoteRef/>
      </w:r>
      <w:r w:rsidRPr="005D56C9">
        <w:rPr>
          <w:rFonts w:cstheme="minorHAnsi"/>
        </w:rPr>
        <w:t xml:space="preserve"> Models for Change- Systems Reform for Juvenile Justice; Law Enforcement-Based Diversion (Sept. 2012)</w:t>
      </w:r>
      <w:r>
        <w:rPr>
          <w:rFonts w:cstheme="minorHAnsi"/>
        </w:rPr>
        <w:t>.</w:t>
      </w:r>
    </w:p>
  </w:footnote>
  <w:footnote w:id="32">
    <w:p w:rsidR="002701AA" w:rsidRPr="00DE7D44" w:rsidRDefault="002701AA" w:rsidP="00C92DC8">
      <w:pPr>
        <w:pStyle w:val="FootnoteText"/>
        <w:rPr>
          <w:rFonts w:cstheme="minorHAnsi"/>
        </w:rPr>
      </w:pPr>
      <w:r w:rsidRPr="00BE7B0A">
        <w:rPr>
          <w:rStyle w:val="FootnoteReference"/>
          <w:rFonts w:ascii="Times New Roman" w:hAnsi="Times New Roman" w:cs="Times New Roman"/>
        </w:rPr>
        <w:footnoteRef/>
      </w:r>
      <w:r w:rsidRPr="00BE7B0A">
        <w:rPr>
          <w:rFonts w:ascii="Times New Roman" w:hAnsi="Times New Roman" w:cs="Times New Roman"/>
        </w:rPr>
        <w:t xml:space="preserve"> </w:t>
      </w:r>
      <w:r w:rsidRPr="00DE7D44">
        <w:rPr>
          <w:rFonts w:cstheme="minorHAnsi"/>
        </w:rPr>
        <w:t>The modules include: Introduction, Adolescent Development, Adolescent Psychiatric Disorders and Treatment Interventions, Crisis Intervention and De-Escalation Techniques, Family Experience, Legal Issues, and Connecting to Resources</w:t>
      </w:r>
      <w:r>
        <w:rPr>
          <w:rFonts w:cstheme="minorHAnsi"/>
        </w:rPr>
        <w:t>.</w:t>
      </w:r>
    </w:p>
  </w:footnote>
  <w:footnote w:id="33">
    <w:p w:rsidR="002701AA" w:rsidRPr="00DE7D44" w:rsidRDefault="002701AA" w:rsidP="00C92DC8">
      <w:pPr>
        <w:pStyle w:val="FootnoteText"/>
        <w:rPr>
          <w:rFonts w:cstheme="minorHAnsi"/>
        </w:rPr>
      </w:pPr>
      <w:r w:rsidRPr="00DE7D44">
        <w:rPr>
          <w:rStyle w:val="FootnoteReference"/>
          <w:rFonts w:cstheme="minorHAnsi"/>
        </w:rPr>
        <w:footnoteRef/>
      </w:r>
      <w:r w:rsidRPr="00DE7D44">
        <w:rPr>
          <w:rFonts w:cstheme="minorHAnsi"/>
        </w:rPr>
        <w:t xml:space="preserve"> Maine Criminal Code 17-A M.R.S.</w:t>
      </w:r>
      <w:r>
        <w:rPr>
          <w:rFonts w:cstheme="minorHAnsi"/>
        </w:rPr>
        <w:t>§§</w:t>
      </w:r>
      <w:r w:rsidRPr="00DE7D44">
        <w:rPr>
          <w:rFonts w:cstheme="minorHAnsi"/>
        </w:rPr>
        <w:t xml:space="preserve"> 15-16; Maine Juvenile Code 15 M.R.S. </w:t>
      </w:r>
      <w:r>
        <w:rPr>
          <w:rFonts w:cstheme="minorHAnsi"/>
        </w:rPr>
        <w:t>§§</w:t>
      </w:r>
      <w:r w:rsidRPr="00DE7D44">
        <w:rPr>
          <w:rFonts w:cstheme="minorHAnsi"/>
        </w:rPr>
        <w:t xml:space="preserve"> 3201, 3203-A</w:t>
      </w:r>
      <w:r>
        <w:rPr>
          <w:rFonts w:cstheme="minorHAnsi"/>
        </w:rPr>
        <w:t>.</w:t>
      </w:r>
    </w:p>
  </w:footnote>
  <w:footnote w:id="34">
    <w:p w:rsidR="002701AA" w:rsidRPr="00DE7D44" w:rsidRDefault="002701AA" w:rsidP="00FA7A17">
      <w:pPr>
        <w:pStyle w:val="FootnoteText"/>
        <w:rPr>
          <w:rFonts w:cstheme="minorHAnsi"/>
        </w:rPr>
      </w:pPr>
      <w:r w:rsidRPr="00DE7D44">
        <w:rPr>
          <w:rStyle w:val="FootnoteReference"/>
          <w:rFonts w:cstheme="minorHAnsi"/>
        </w:rPr>
        <w:footnoteRef/>
      </w:r>
      <w:r w:rsidRPr="00DE7D44">
        <w:rPr>
          <w:rFonts w:cstheme="minorHAnsi"/>
        </w:rPr>
        <w:t xml:space="preserve"> Delinquency Filings for Group Home Incidents; </w:t>
      </w:r>
      <w:r>
        <w:rPr>
          <w:rFonts w:cstheme="minorHAnsi"/>
        </w:rPr>
        <w:t xml:space="preserve"> Assembly Bill No. 388, CHAPTER 760, “</w:t>
      </w:r>
      <w:r w:rsidRPr="00FA7A17">
        <w:rPr>
          <w:rFonts w:cstheme="minorHAnsi"/>
        </w:rPr>
        <w:t>An act to amend Section 1536 of, and to add Section 1538.7 to, the Health and Safety Code, and to amend Sections 241.1, 635, 636, 730.6, 4096.5, and 11469 of the Welfare and Institutions Code, relating to juveniles</w:t>
      </w:r>
      <w:r>
        <w:rPr>
          <w:rFonts w:cstheme="minorHAnsi"/>
        </w:rPr>
        <w:t xml:space="preserve">”, available at: </w:t>
      </w:r>
      <w:hyperlink r:id="rId15" w:history="1">
        <w:r w:rsidRPr="00382B63">
          <w:rPr>
            <w:rStyle w:val="Hyperlink"/>
            <w:rFonts w:cstheme="minorHAnsi"/>
          </w:rPr>
          <w:t>http://leginfo.legislature.ca.gov/faces/billTextClient.xhtml?bill_id=201320140AB388</w:t>
        </w:r>
      </w:hyperlink>
    </w:p>
  </w:footnote>
  <w:footnote w:id="35">
    <w:p w:rsidR="002701AA" w:rsidRPr="008A4E46" w:rsidRDefault="002701AA">
      <w:pPr>
        <w:pStyle w:val="FootnoteText"/>
        <w:rPr>
          <w:rFonts w:cstheme="minorHAnsi"/>
        </w:rPr>
      </w:pPr>
      <w:r>
        <w:rPr>
          <w:rStyle w:val="FootnoteReference"/>
        </w:rPr>
        <w:footnoteRef/>
      </w:r>
      <w:r>
        <w:t xml:space="preserve"> </w:t>
      </w:r>
      <w:r w:rsidRPr="00177FFD">
        <w:rPr>
          <w:rFonts w:cstheme="minorHAnsi"/>
          <w:i/>
        </w:rPr>
        <w:t>Id.</w:t>
      </w:r>
    </w:p>
  </w:footnote>
  <w:footnote w:id="36">
    <w:p w:rsidR="002701AA" w:rsidRPr="007C531B" w:rsidRDefault="002701AA">
      <w:pPr>
        <w:pStyle w:val="FootnoteText"/>
      </w:pPr>
      <w:r>
        <w:rPr>
          <w:rStyle w:val="FootnoteReference"/>
        </w:rPr>
        <w:footnoteRef/>
      </w:r>
      <w:r>
        <w:t xml:space="preserve"> </w:t>
      </w:r>
      <w:r w:rsidRPr="007C531B">
        <w:t xml:space="preserve">Delinquency Filings for Group Home Incidents;  Assembly Bill No. 388, CHAPTER 760, “An act to amend Section 1536 of, and to add Section 1538.7 to, the Health and Safety Code, and to amend Sections 241.1, 635, 636, 730.6, 4096.5, and 11469 of the Welfare and Institutions Code, relating to juveniles”, available at: </w:t>
      </w:r>
      <w:hyperlink r:id="rId16" w:history="1">
        <w:r w:rsidRPr="00DF6518">
          <w:rPr>
            <w:rStyle w:val="Hyperlink"/>
          </w:rPr>
          <w:t>http://leginfo.legislature.ca.gov/faces/billTextClient.xhtml?bill_id=201320140AB388</w:t>
        </w:r>
      </w:hyperlink>
      <w:r>
        <w:t>.</w:t>
      </w:r>
    </w:p>
  </w:footnote>
  <w:footnote w:id="37">
    <w:p w:rsidR="002701AA" w:rsidRPr="00DE7D44" w:rsidRDefault="002701AA" w:rsidP="00385FE0">
      <w:pPr>
        <w:pStyle w:val="FootnoteText"/>
        <w:rPr>
          <w:rFonts w:cstheme="minorHAnsi"/>
        </w:rPr>
      </w:pPr>
      <w:r w:rsidRPr="00DE7D44">
        <w:rPr>
          <w:rStyle w:val="FootnoteReference"/>
          <w:rFonts w:cstheme="minorHAnsi"/>
        </w:rPr>
        <w:footnoteRef/>
      </w:r>
      <w:r w:rsidRPr="00DE7D44">
        <w:rPr>
          <w:rFonts w:cstheme="minorHAnsi"/>
        </w:rPr>
        <w:t xml:space="preserve"> </w:t>
      </w:r>
      <w:r w:rsidRPr="00385FE0">
        <w:rPr>
          <w:rFonts w:cstheme="minorHAnsi"/>
        </w:rPr>
        <w:t>Infrastruct</w:t>
      </w:r>
      <w:r>
        <w:rPr>
          <w:rFonts w:cstheme="minorHAnsi"/>
        </w:rPr>
        <w:t xml:space="preserve">ure of Community-based Programs, </w:t>
      </w:r>
      <w:r w:rsidRPr="00385FE0">
        <w:rPr>
          <w:rFonts w:cstheme="minorHAnsi"/>
        </w:rPr>
        <w:t>Section 4.2</w:t>
      </w:r>
      <w:r>
        <w:rPr>
          <w:rFonts w:cstheme="minorHAnsi"/>
        </w:rPr>
        <w:t xml:space="preserve"> Available at </w:t>
      </w:r>
      <w:hyperlink r:id="rId17" w:anchor="main-content" w:history="1">
        <w:r w:rsidRPr="00382B63">
          <w:rPr>
            <w:rStyle w:val="Hyperlink"/>
            <w:rFonts w:cstheme="minorHAnsi"/>
          </w:rPr>
          <w:t>https://www.juvjustice.org/our-work/safety-opportunity-and-success-project/national-standards/section-iv-recommendations-pol-10#main-content</w:t>
        </w:r>
      </w:hyperlink>
    </w:p>
  </w:footnote>
  <w:footnote w:id="38">
    <w:p w:rsidR="002701AA" w:rsidRPr="00DE7D44" w:rsidRDefault="002701AA" w:rsidP="00C92DC8">
      <w:pPr>
        <w:pStyle w:val="FootnoteText"/>
        <w:rPr>
          <w:rFonts w:cstheme="minorHAnsi"/>
        </w:rPr>
      </w:pPr>
      <w:r w:rsidRPr="00DE7D44">
        <w:rPr>
          <w:rStyle w:val="FootnoteReference"/>
          <w:rFonts w:cstheme="minorHAnsi"/>
        </w:rPr>
        <w:footnoteRef/>
      </w:r>
      <w:r w:rsidRPr="00DE7D44">
        <w:rPr>
          <w:rFonts w:cstheme="minorHAnsi"/>
        </w:rPr>
        <w:t xml:space="preserve"> </w:t>
      </w:r>
      <w:r>
        <w:rPr>
          <w:rFonts w:cstheme="minorHAnsi"/>
        </w:rPr>
        <w:t xml:space="preserve">“Care Not Custody”, Victoria Legal Aid, 2016.  Available at </w:t>
      </w:r>
      <w:hyperlink r:id="rId18" w:history="1">
        <w:r w:rsidRPr="00382B63">
          <w:rPr>
            <w:rStyle w:val="Hyperlink"/>
            <w:rFonts w:cstheme="minorHAnsi"/>
          </w:rPr>
          <w:t>https://www.legalaid.vic.gov.au/sites/www.legalaid.vic.gov.au/files/vla-care-not-custody-report.pdf</w:t>
        </w:r>
      </w:hyperlink>
    </w:p>
  </w:footnote>
  <w:footnote w:id="39">
    <w:p w:rsidR="002701AA" w:rsidRPr="00DE7D44" w:rsidRDefault="002701AA" w:rsidP="00C92DC8">
      <w:pPr>
        <w:pStyle w:val="FootnoteText"/>
        <w:rPr>
          <w:rFonts w:cstheme="minorHAnsi"/>
        </w:rPr>
      </w:pPr>
      <w:r w:rsidRPr="00DE7D44">
        <w:rPr>
          <w:rStyle w:val="FootnoteReference"/>
          <w:rFonts w:cstheme="minorHAnsi"/>
        </w:rPr>
        <w:footnoteRef/>
      </w:r>
      <w:r w:rsidRPr="00DE7D44">
        <w:rPr>
          <w:rFonts w:cstheme="minorHAnsi"/>
        </w:rPr>
        <w:t xml:space="preserve"> </w:t>
      </w:r>
      <w:r w:rsidRPr="00E10784">
        <w:rPr>
          <w:rFonts w:cstheme="minorHAnsi"/>
          <w:i/>
        </w:rPr>
        <w:t>Id</w:t>
      </w:r>
      <w:r>
        <w:rPr>
          <w:rFonts w:cstheme="minorHAnsi"/>
        </w:rPr>
        <w:t>., page 25.</w:t>
      </w:r>
    </w:p>
  </w:footnote>
  <w:footnote w:id="40">
    <w:p w:rsidR="002701AA" w:rsidRPr="00DE7D44" w:rsidRDefault="002701AA" w:rsidP="00177FFD">
      <w:pPr>
        <w:pStyle w:val="FootnoteText"/>
        <w:rPr>
          <w:rFonts w:cstheme="minorHAnsi"/>
        </w:rPr>
      </w:pPr>
      <w:r w:rsidRPr="00DE7D44">
        <w:rPr>
          <w:rStyle w:val="FootnoteReference"/>
          <w:rFonts w:cstheme="minorHAnsi"/>
        </w:rPr>
        <w:footnoteRef/>
      </w:r>
      <w:r w:rsidRPr="00DE7D44">
        <w:rPr>
          <w:rFonts w:cstheme="minorHAnsi"/>
        </w:rPr>
        <w:t xml:space="preserve"> </w:t>
      </w:r>
      <w:r w:rsidRPr="00177FFD">
        <w:rPr>
          <w:rFonts w:cstheme="minorHAnsi"/>
          <w:u w:val="single"/>
        </w:rPr>
        <w:t>See</w:t>
      </w:r>
      <w:r>
        <w:rPr>
          <w:rFonts w:cstheme="minorHAnsi"/>
        </w:rPr>
        <w:t xml:space="preserve">: </w:t>
      </w:r>
      <w:hyperlink r:id="rId19" w:history="1">
        <w:r w:rsidRPr="00382B63">
          <w:rPr>
            <w:rStyle w:val="Hyperlink"/>
            <w:rFonts w:cstheme="minorHAnsi"/>
          </w:rPr>
          <w:t>http://jlc.org/sites/default/files/publication_pdfs/Pre-Adjudication_Diversion_Policy_Guide2.pdf</w:t>
        </w:r>
      </w:hyperlink>
      <w:r>
        <w:rPr>
          <w:rStyle w:val="Hyperlink"/>
          <w:rFonts w:cstheme="minorHAnsi"/>
        </w:rPr>
        <w:t>.</w:t>
      </w:r>
    </w:p>
  </w:footnote>
  <w:footnote w:id="41">
    <w:p w:rsidR="002701AA" w:rsidRPr="00177FFD" w:rsidRDefault="002701AA" w:rsidP="00C92DC8">
      <w:pPr>
        <w:pStyle w:val="FootnoteText"/>
        <w:rPr>
          <w:rFonts w:cstheme="minorHAnsi"/>
          <w:i/>
        </w:rPr>
      </w:pPr>
      <w:r w:rsidRPr="00DE7D44">
        <w:rPr>
          <w:rStyle w:val="FootnoteReference"/>
          <w:rFonts w:cstheme="minorHAnsi"/>
        </w:rPr>
        <w:footnoteRef/>
      </w:r>
      <w:r w:rsidRPr="00DE7D44">
        <w:rPr>
          <w:rFonts w:cstheme="minorHAnsi"/>
        </w:rPr>
        <w:t xml:space="preserve"> “The Joint Policy Statement, promulgated as part of Pennsylvania’s participation in the Models for Change systems reform initiative, sets out a vision of a comprehensive model system that: (1) prevents unnecessary involvement of youth who are in need of mental health treatment, including those with co-occurring substance abuse disorders, in the juvenile justice system; (2) allows for the early identification of youth in the system with mental health needs and co-occurring disorders; and (3) provides for timely access by identified youth in the system to appropriate treatment within the least restrictive setting that is consistent with public safety needs.”</w:t>
      </w:r>
      <w:r>
        <w:rPr>
          <w:rFonts w:cstheme="minorHAnsi"/>
        </w:rPr>
        <w:t xml:space="preserve"> </w:t>
      </w:r>
      <w:r>
        <w:rPr>
          <w:rFonts w:cstheme="minorHAnsi"/>
          <w:i/>
        </w:rPr>
        <w:t>Id.</w:t>
      </w:r>
    </w:p>
  </w:footnote>
  <w:footnote w:id="42">
    <w:p w:rsidR="002701AA" w:rsidRPr="00DE7D44" w:rsidRDefault="002701AA" w:rsidP="00C92DC8">
      <w:pPr>
        <w:pStyle w:val="FootnoteText"/>
        <w:rPr>
          <w:rFonts w:cstheme="minorHAnsi"/>
        </w:rPr>
      </w:pPr>
      <w:r w:rsidRPr="00DE7D44">
        <w:rPr>
          <w:rStyle w:val="FootnoteReference"/>
          <w:rFonts w:cstheme="minorHAnsi"/>
        </w:rPr>
        <w:footnoteRef/>
      </w:r>
      <w:r w:rsidRPr="00DE7D44">
        <w:rPr>
          <w:rFonts w:cstheme="minorHAnsi"/>
        </w:rPr>
        <w:t xml:space="preserve"> </w:t>
      </w:r>
      <w:r w:rsidRPr="00FC75E0">
        <w:rPr>
          <w:rFonts w:cstheme="minorHAnsi"/>
          <w:u w:val="single"/>
        </w:rPr>
        <w:t>See</w:t>
      </w:r>
      <w:r>
        <w:rPr>
          <w:rFonts w:cstheme="minorHAnsi"/>
        </w:rPr>
        <w:t>:</w:t>
      </w:r>
      <w:r w:rsidRPr="00DE7D44">
        <w:rPr>
          <w:rFonts w:cstheme="minorHAnsi"/>
        </w:rPr>
        <w:t xml:space="preserve"> 42 Pa. Cons. Stat. Sec. 6323; 42 Pa. Cons. Stat. Sec. 634 and Rule 370; 42 Pa. Cons. Stat. Sec. 6341b and Rule 409(b); 42 Pa. Cons. Stat. Sec. 1520.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631"/>
    <w:multiLevelType w:val="hybridMultilevel"/>
    <w:tmpl w:val="E92A833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D5981"/>
    <w:multiLevelType w:val="hybridMultilevel"/>
    <w:tmpl w:val="C056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A02A33"/>
    <w:multiLevelType w:val="multilevel"/>
    <w:tmpl w:val="6390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D115D2"/>
    <w:multiLevelType w:val="multilevel"/>
    <w:tmpl w:val="AC80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024D4E"/>
    <w:multiLevelType w:val="hybridMultilevel"/>
    <w:tmpl w:val="225C6EE8"/>
    <w:lvl w:ilvl="0" w:tplc="EA00A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90"/>
    <w:rsid w:val="00005B4A"/>
    <w:rsid w:val="00006A4C"/>
    <w:rsid w:val="00011091"/>
    <w:rsid w:val="00012B48"/>
    <w:rsid w:val="0002553B"/>
    <w:rsid w:val="00035DA1"/>
    <w:rsid w:val="00040F16"/>
    <w:rsid w:val="000438FA"/>
    <w:rsid w:val="00043D9F"/>
    <w:rsid w:val="000511B3"/>
    <w:rsid w:val="00053A91"/>
    <w:rsid w:val="00055C55"/>
    <w:rsid w:val="000602EF"/>
    <w:rsid w:val="00061128"/>
    <w:rsid w:val="00070E57"/>
    <w:rsid w:val="000822F8"/>
    <w:rsid w:val="000939B3"/>
    <w:rsid w:val="000A082E"/>
    <w:rsid w:val="000A6353"/>
    <w:rsid w:val="000A7FAE"/>
    <w:rsid w:val="000B035C"/>
    <w:rsid w:val="000B1399"/>
    <w:rsid w:val="000B585B"/>
    <w:rsid w:val="000B61D7"/>
    <w:rsid w:val="000C23B5"/>
    <w:rsid w:val="000C3590"/>
    <w:rsid w:val="000D19EC"/>
    <w:rsid w:val="000D2FE9"/>
    <w:rsid w:val="000D3F73"/>
    <w:rsid w:val="000D7560"/>
    <w:rsid w:val="000E32BA"/>
    <w:rsid w:val="000E581B"/>
    <w:rsid w:val="000F12C6"/>
    <w:rsid w:val="00103908"/>
    <w:rsid w:val="0010761E"/>
    <w:rsid w:val="001102C1"/>
    <w:rsid w:val="00122213"/>
    <w:rsid w:val="00124D15"/>
    <w:rsid w:val="00125DF4"/>
    <w:rsid w:val="00126A42"/>
    <w:rsid w:val="001335FA"/>
    <w:rsid w:val="00134033"/>
    <w:rsid w:val="00141346"/>
    <w:rsid w:val="00145CA3"/>
    <w:rsid w:val="00146DFF"/>
    <w:rsid w:val="00172010"/>
    <w:rsid w:val="00175E0D"/>
    <w:rsid w:val="00177FFD"/>
    <w:rsid w:val="00187480"/>
    <w:rsid w:val="001A0E5C"/>
    <w:rsid w:val="001A1489"/>
    <w:rsid w:val="001B0514"/>
    <w:rsid w:val="001C1678"/>
    <w:rsid w:val="001C4063"/>
    <w:rsid w:val="001C5374"/>
    <w:rsid w:val="001D2281"/>
    <w:rsid w:val="001E2C8B"/>
    <w:rsid w:val="001F05E1"/>
    <w:rsid w:val="001F06D9"/>
    <w:rsid w:val="001F28AC"/>
    <w:rsid w:val="001F627F"/>
    <w:rsid w:val="002030F1"/>
    <w:rsid w:val="002050F4"/>
    <w:rsid w:val="0020788C"/>
    <w:rsid w:val="002118B0"/>
    <w:rsid w:val="00214588"/>
    <w:rsid w:val="002207AA"/>
    <w:rsid w:val="00242335"/>
    <w:rsid w:val="002453C0"/>
    <w:rsid w:val="00247DC6"/>
    <w:rsid w:val="00254E5C"/>
    <w:rsid w:val="002604C4"/>
    <w:rsid w:val="00265A5E"/>
    <w:rsid w:val="002701AA"/>
    <w:rsid w:val="002748BA"/>
    <w:rsid w:val="002770C2"/>
    <w:rsid w:val="00284151"/>
    <w:rsid w:val="002871D1"/>
    <w:rsid w:val="00287A2D"/>
    <w:rsid w:val="00287A46"/>
    <w:rsid w:val="00290978"/>
    <w:rsid w:val="00291CB0"/>
    <w:rsid w:val="00292E37"/>
    <w:rsid w:val="00293FD9"/>
    <w:rsid w:val="002A359B"/>
    <w:rsid w:val="002B370A"/>
    <w:rsid w:val="002C5BB9"/>
    <w:rsid w:val="002D6EA7"/>
    <w:rsid w:val="002E04F6"/>
    <w:rsid w:val="002E1821"/>
    <w:rsid w:val="002F3DBC"/>
    <w:rsid w:val="002F50ED"/>
    <w:rsid w:val="002F5FA9"/>
    <w:rsid w:val="0030055D"/>
    <w:rsid w:val="00302D50"/>
    <w:rsid w:val="00320ABA"/>
    <w:rsid w:val="0032465A"/>
    <w:rsid w:val="003364F1"/>
    <w:rsid w:val="0034109C"/>
    <w:rsid w:val="00341F10"/>
    <w:rsid w:val="00342671"/>
    <w:rsid w:val="00346F71"/>
    <w:rsid w:val="00353713"/>
    <w:rsid w:val="003617F5"/>
    <w:rsid w:val="00377A97"/>
    <w:rsid w:val="00380A1C"/>
    <w:rsid w:val="00380A96"/>
    <w:rsid w:val="00385FE0"/>
    <w:rsid w:val="00387FDC"/>
    <w:rsid w:val="00390F3D"/>
    <w:rsid w:val="0039720A"/>
    <w:rsid w:val="003A60FF"/>
    <w:rsid w:val="003B3026"/>
    <w:rsid w:val="003B38AD"/>
    <w:rsid w:val="003B45A8"/>
    <w:rsid w:val="003C2178"/>
    <w:rsid w:val="003D1253"/>
    <w:rsid w:val="003E1A36"/>
    <w:rsid w:val="003E4E2B"/>
    <w:rsid w:val="003F23AC"/>
    <w:rsid w:val="003F2ECC"/>
    <w:rsid w:val="003F6E6E"/>
    <w:rsid w:val="00413D12"/>
    <w:rsid w:val="004260C0"/>
    <w:rsid w:val="004400D9"/>
    <w:rsid w:val="00441736"/>
    <w:rsid w:val="00444230"/>
    <w:rsid w:val="00453370"/>
    <w:rsid w:val="00454EFA"/>
    <w:rsid w:val="0046056A"/>
    <w:rsid w:val="00466DF6"/>
    <w:rsid w:val="00470DBA"/>
    <w:rsid w:val="00474521"/>
    <w:rsid w:val="00482281"/>
    <w:rsid w:val="00483F9E"/>
    <w:rsid w:val="00491156"/>
    <w:rsid w:val="00491915"/>
    <w:rsid w:val="004A4DC7"/>
    <w:rsid w:val="004B0D57"/>
    <w:rsid w:val="004C518A"/>
    <w:rsid w:val="004C5701"/>
    <w:rsid w:val="004C7C01"/>
    <w:rsid w:val="004D119E"/>
    <w:rsid w:val="004D4402"/>
    <w:rsid w:val="004E376C"/>
    <w:rsid w:val="004F15F5"/>
    <w:rsid w:val="004F341E"/>
    <w:rsid w:val="004F5416"/>
    <w:rsid w:val="00501AA8"/>
    <w:rsid w:val="00505EB0"/>
    <w:rsid w:val="00524409"/>
    <w:rsid w:val="0052509C"/>
    <w:rsid w:val="00546E32"/>
    <w:rsid w:val="00547702"/>
    <w:rsid w:val="00552B71"/>
    <w:rsid w:val="005712B0"/>
    <w:rsid w:val="00572D7D"/>
    <w:rsid w:val="00574344"/>
    <w:rsid w:val="00581B49"/>
    <w:rsid w:val="00585950"/>
    <w:rsid w:val="00593AC1"/>
    <w:rsid w:val="005A5632"/>
    <w:rsid w:val="005A7150"/>
    <w:rsid w:val="005C1B7C"/>
    <w:rsid w:val="005C22F2"/>
    <w:rsid w:val="005C69D7"/>
    <w:rsid w:val="005D56C9"/>
    <w:rsid w:val="005E15A0"/>
    <w:rsid w:val="005E1739"/>
    <w:rsid w:val="005E41E7"/>
    <w:rsid w:val="005E45FD"/>
    <w:rsid w:val="005E4BA7"/>
    <w:rsid w:val="005E503A"/>
    <w:rsid w:val="00601416"/>
    <w:rsid w:val="00601B43"/>
    <w:rsid w:val="006026BB"/>
    <w:rsid w:val="00603DD4"/>
    <w:rsid w:val="006050BA"/>
    <w:rsid w:val="00605925"/>
    <w:rsid w:val="00620BB5"/>
    <w:rsid w:val="00623D13"/>
    <w:rsid w:val="006252C8"/>
    <w:rsid w:val="00636EC9"/>
    <w:rsid w:val="006378FB"/>
    <w:rsid w:val="00646FBF"/>
    <w:rsid w:val="00655F39"/>
    <w:rsid w:val="00660299"/>
    <w:rsid w:val="00663703"/>
    <w:rsid w:val="0066385A"/>
    <w:rsid w:val="00663BCB"/>
    <w:rsid w:val="00663EDE"/>
    <w:rsid w:val="00665811"/>
    <w:rsid w:val="00665B06"/>
    <w:rsid w:val="006716AF"/>
    <w:rsid w:val="00692BF9"/>
    <w:rsid w:val="006A0DCD"/>
    <w:rsid w:val="006A52E4"/>
    <w:rsid w:val="006D454B"/>
    <w:rsid w:val="006E3647"/>
    <w:rsid w:val="006E53F5"/>
    <w:rsid w:val="006F2C9E"/>
    <w:rsid w:val="006F33FD"/>
    <w:rsid w:val="006F4763"/>
    <w:rsid w:val="00700646"/>
    <w:rsid w:val="00714FEE"/>
    <w:rsid w:val="00717D5C"/>
    <w:rsid w:val="00736604"/>
    <w:rsid w:val="00736BFD"/>
    <w:rsid w:val="0073732B"/>
    <w:rsid w:val="00737DED"/>
    <w:rsid w:val="007409BC"/>
    <w:rsid w:val="007413A7"/>
    <w:rsid w:val="00755685"/>
    <w:rsid w:val="00755D99"/>
    <w:rsid w:val="0075635B"/>
    <w:rsid w:val="0077541C"/>
    <w:rsid w:val="007814F2"/>
    <w:rsid w:val="0078541F"/>
    <w:rsid w:val="007873DB"/>
    <w:rsid w:val="00795491"/>
    <w:rsid w:val="007A0A1D"/>
    <w:rsid w:val="007B25EE"/>
    <w:rsid w:val="007B297E"/>
    <w:rsid w:val="007B79B5"/>
    <w:rsid w:val="007C531B"/>
    <w:rsid w:val="007C6979"/>
    <w:rsid w:val="007D1627"/>
    <w:rsid w:val="007D6508"/>
    <w:rsid w:val="007E3C16"/>
    <w:rsid w:val="007E566B"/>
    <w:rsid w:val="007F387F"/>
    <w:rsid w:val="007F4D06"/>
    <w:rsid w:val="007F6090"/>
    <w:rsid w:val="00800741"/>
    <w:rsid w:val="00821907"/>
    <w:rsid w:val="008240BE"/>
    <w:rsid w:val="008278EB"/>
    <w:rsid w:val="0083598C"/>
    <w:rsid w:val="0084337E"/>
    <w:rsid w:val="008473D2"/>
    <w:rsid w:val="00847BA8"/>
    <w:rsid w:val="00854AD4"/>
    <w:rsid w:val="008574C8"/>
    <w:rsid w:val="008767F1"/>
    <w:rsid w:val="008865CD"/>
    <w:rsid w:val="00891BB2"/>
    <w:rsid w:val="00895AC1"/>
    <w:rsid w:val="00896D10"/>
    <w:rsid w:val="008A0C12"/>
    <w:rsid w:val="008A2611"/>
    <w:rsid w:val="008A3434"/>
    <w:rsid w:val="008A4E46"/>
    <w:rsid w:val="008A60E1"/>
    <w:rsid w:val="008A6D79"/>
    <w:rsid w:val="008A72B8"/>
    <w:rsid w:val="008A7D76"/>
    <w:rsid w:val="008B65D3"/>
    <w:rsid w:val="008B75D9"/>
    <w:rsid w:val="008C79AB"/>
    <w:rsid w:val="008D04ED"/>
    <w:rsid w:val="008D7ACE"/>
    <w:rsid w:val="008E02EE"/>
    <w:rsid w:val="008E1ACB"/>
    <w:rsid w:val="008E2335"/>
    <w:rsid w:val="008E74DF"/>
    <w:rsid w:val="008F1823"/>
    <w:rsid w:val="008F315A"/>
    <w:rsid w:val="008F34FC"/>
    <w:rsid w:val="008F3C57"/>
    <w:rsid w:val="00901F27"/>
    <w:rsid w:val="00907355"/>
    <w:rsid w:val="00916259"/>
    <w:rsid w:val="00916BE5"/>
    <w:rsid w:val="00922CF7"/>
    <w:rsid w:val="009242C6"/>
    <w:rsid w:val="009271EC"/>
    <w:rsid w:val="00940023"/>
    <w:rsid w:val="00954BEE"/>
    <w:rsid w:val="00961A0F"/>
    <w:rsid w:val="00964161"/>
    <w:rsid w:val="009906DA"/>
    <w:rsid w:val="009A53DA"/>
    <w:rsid w:val="009B2CF1"/>
    <w:rsid w:val="009C302B"/>
    <w:rsid w:val="009C41E8"/>
    <w:rsid w:val="009C7237"/>
    <w:rsid w:val="009F1990"/>
    <w:rsid w:val="009F2BCA"/>
    <w:rsid w:val="00A00A19"/>
    <w:rsid w:val="00A013E3"/>
    <w:rsid w:val="00A02BA4"/>
    <w:rsid w:val="00A16F92"/>
    <w:rsid w:val="00A222B7"/>
    <w:rsid w:val="00A33884"/>
    <w:rsid w:val="00A35267"/>
    <w:rsid w:val="00A50A7D"/>
    <w:rsid w:val="00A52476"/>
    <w:rsid w:val="00A5475F"/>
    <w:rsid w:val="00A6280E"/>
    <w:rsid w:val="00A7465E"/>
    <w:rsid w:val="00A940C1"/>
    <w:rsid w:val="00A94F6E"/>
    <w:rsid w:val="00AD5D22"/>
    <w:rsid w:val="00AF07D8"/>
    <w:rsid w:val="00AF7366"/>
    <w:rsid w:val="00B06849"/>
    <w:rsid w:val="00B06D4F"/>
    <w:rsid w:val="00B113AA"/>
    <w:rsid w:val="00B248D9"/>
    <w:rsid w:val="00B25011"/>
    <w:rsid w:val="00B34127"/>
    <w:rsid w:val="00B365AE"/>
    <w:rsid w:val="00B3788B"/>
    <w:rsid w:val="00B4132D"/>
    <w:rsid w:val="00B47DB1"/>
    <w:rsid w:val="00B60A5D"/>
    <w:rsid w:val="00B63C42"/>
    <w:rsid w:val="00B6676E"/>
    <w:rsid w:val="00B67722"/>
    <w:rsid w:val="00B67794"/>
    <w:rsid w:val="00B85754"/>
    <w:rsid w:val="00B90B73"/>
    <w:rsid w:val="00B9216E"/>
    <w:rsid w:val="00B923C6"/>
    <w:rsid w:val="00B97233"/>
    <w:rsid w:val="00BA75F7"/>
    <w:rsid w:val="00BB0A73"/>
    <w:rsid w:val="00BB0C57"/>
    <w:rsid w:val="00BB42E8"/>
    <w:rsid w:val="00BB4F57"/>
    <w:rsid w:val="00BB66A8"/>
    <w:rsid w:val="00BB758A"/>
    <w:rsid w:val="00BC0D26"/>
    <w:rsid w:val="00BD5298"/>
    <w:rsid w:val="00BD7160"/>
    <w:rsid w:val="00BD77C9"/>
    <w:rsid w:val="00C01331"/>
    <w:rsid w:val="00C04D1F"/>
    <w:rsid w:val="00C058DA"/>
    <w:rsid w:val="00C07240"/>
    <w:rsid w:val="00C117E3"/>
    <w:rsid w:val="00C1719F"/>
    <w:rsid w:val="00C22368"/>
    <w:rsid w:val="00C339C7"/>
    <w:rsid w:val="00C36B91"/>
    <w:rsid w:val="00C529BF"/>
    <w:rsid w:val="00C53858"/>
    <w:rsid w:val="00C53EDF"/>
    <w:rsid w:val="00C57A03"/>
    <w:rsid w:val="00C67C43"/>
    <w:rsid w:val="00C74681"/>
    <w:rsid w:val="00C91B63"/>
    <w:rsid w:val="00C929B0"/>
    <w:rsid w:val="00C92DC8"/>
    <w:rsid w:val="00C93242"/>
    <w:rsid w:val="00C95744"/>
    <w:rsid w:val="00C9600B"/>
    <w:rsid w:val="00CA0D00"/>
    <w:rsid w:val="00CA150C"/>
    <w:rsid w:val="00CA4878"/>
    <w:rsid w:val="00CA63A8"/>
    <w:rsid w:val="00CA6AAC"/>
    <w:rsid w:val="00CC250C"/>
    <w:rsid w:val="00CC52EE"/>
    <w:rsid w:val="00CD3101"/>
    <w:rsid w:val="00CD41D9"/>
    <w:rsid w:val="00CD7DD3"/>
    <w:rsid w:val="00CE03D2"/>
    <w:rsid w:val="00CE2DC3"/>
    <w:rsid w:val="00CE733C"/>
    <w:rsid w:val="00CF2840"/>
    <w:rsid w:val="00D02F18"/>
    <w:rsid w:val="00D23CD4"/>
    <w:rsid w:val="00D267FC"/>
    <w:rsid w:val="00D52055"/>
    <w:rsid w:val="00D520E4"/>
    <w:rsid w:val="00D730D7"/>
    <w:rsid w:val="00D839CE"/>
    <w:rsid w:val="00D8610D"/>
    <w:rsid w:val="00D86BE4"/>
    <w:rsid w:val="00D90CB7"/>
    <w:rsid w:val="00D9147A"/>
    <w:rsid w:val="00DA072A"/>
    <w:rsid w:val="00DA08C2"/>
    <w:rsid w:val="00DA699C"/>
    <w:rsid w:val="00DC07DE"/>
    <w:rsid w:val="00DC4348"/>
    <w:rsid w:val="00DD1016"/>
    <w:rsid w:val="00DD41C4"/>
    <w:rsid w:val="00DD7ACD"/>
    <w:rsid w:val="00DE7D44"/>
    <w:rsid w:val="00DF0D95"/>
    <w:rsid w:val="00DF580E"/>
    <w:rsid w:val="00E07EDE"/>
    <w:rsid w:val="00E10784"/>
    <w:rsid w:val="00E20A74"/>
    <w:rsid w:val="00E24D74"/>
    <w:rsid w:val="00E31BEC"/>
    <w:rsid w:val="00E31C1C"/>
    <w:rsid w:val="00E4147B"/>
    <w:rsid w:val="00E47E65"/>
    <w:rsid w:val="00E5037A"/>
    <w:rsid w:val="00E56FC0"/>
    <w:rsid w:val="00E60F5A"/>
    <w:rsid w:val="00E67319"/>
    <w:rsid w:val="00E72266"/>
    <w:rsid w:val="00E8604D"/>
    <w:rsid w:val="00E963DE"/>
    <w:rsid w:val="00EA369D"/>
    <w:rsid w:val="00EA7741"/>
    <w:rsid w:val="00EA7761"/>
    <w:rsid w:val="00EB2B2E"/>
    <w:rsid w:val="00EB404F"/>
    <w:rsid w:val="00EB72F3"/>
    <w:rsid w:val="00ED7376"/>
    <w:rsid w:val="00EE19B5"/>
    <w:rsid w:val="00EE7D32"/>
    <w:rsid w:val="00F052A9"/>
    <w:rsid w:val="00F126F8"/>
    <w:rsid w:val="00F145AE"/>
    <w:rsid w:val="00F15E61"/>
    <w:rsid w:val="00F20621"/>
    <w:rsid w:val="00F21942"/>
    <w:rsid w:val="00F53A6B"/>
    <w:rsid w:val="00F542E3"/>
    <w:rsid w:val="00F616D0"/>
    <w:rsid w:val="00F62FC9"/>
    <w:rsid w:val="00F7184C"/>
    <w:rsid w:val="00F80B19"/>
    <w:rsid w:val="00F82FD1"/>
    <w:rsid w:val="00F83250"/>
    <w:rsid w:val="00F837C4"/>
    <w:rsid w:val="00F95862"/>
    <w:rsid w:val="00FA46FF"/>
    <w:rsid w:val="00FA56FD"/>
    <w:rsid w:val="00FA7A17"/>
    <w:rsid w:val="00FB10FC"/>
    <w:rsid w:val="00FC0AAB"/>
    <w:rsid w:val="00FC4DEE"/>
    <w:rsid w:val="00FC75E0"/>
    <w:rsid w:val="00FD18F0"/>
    <w:rsid w:val="00FD5D93"/>
    <w:rsid w:val="00FE0B34"/>
    <w:rsid w:val="00FE0C24"/>
    <w:rsid w:val="00FE2D84"/>
    <w:rsid w:val="00FE36EE"/>
    <w:rsid w:val="00FE6505"/>
    <w:rsid w:val="00FF36B0"/>
    <w:rsid w:val="00FF53A3"/>
    <w:rsid w:val="00FF65ED"/>
    <w:rsid w:val="00F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F837C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590"/>
    <w:pPr>
      <w:spacing w:after="0" w:line="240" w:lineRule="auto"/>
    </w:pPr>
  </w:style>
  <w:style w:type="character" w:styleId="CommentReference">
    <w:name w:val="annotation reference"/>
    <w:basedOn w:val="DefaultParagraphFont"/>
    <w:uiPriority w:val="99"/>
    <w:semiHidden/>
    <w:unhideWhenUsed/>
    <w:rsid w:val="00916BE5"/>
    <w:rPr>
      <w:sz w:val="16"/>
      <w:szCs w:val="16"/>
    </w:rPr>
  </w:style>
  <w:style w:type="paragraph" w:styleId="CommentText">
    <w:name w:val="annotation text"/>
    <w:basedOn w:val="Normal"/>
    <w:link w:val="CommentTextChar"/>
    <w:uiPriority w:val="99"/>
    <w:semiHidden/>
    <w:unhideWhenUsed/>
    <w:rsid w:val="00916BE5"/>
    <w:pPr>
      <w:spacing w:line="240" w:lineRule="auto"/>
    </w:pPr>
    <w:rPr>
      <w:sz w:val="20"/>
      <w:szCs w:val="20"/>
    </w:rPr>
  </w:style>
  <w:style w:type="character" w:customStyle="1" w:styleId="CommentTextChar">
    <w:name w:val="Comment Text Char"/>
    <w:basedOn w:val="DefaultParagraphFont"/>
    <w:link w:val="CommentText"/>
    <w:uiPriority w:val="99"/>
    <w:semiHidden/>
    <w:rsid w:val="00916BE5"/>
    <w:rPr>
      <w:sz w:val="20"/>
      <w:szCs w:val="20"/>
    </w:rPr>
  </w:style>
  <w:style w:type="paragraph" w:styleId="CommentSubject">
    <w:name w:val="annotation subject"/>
    <w:basedOn w:val="CommentText"/>
    <w:next w:val="CommentText"/>
    <w:link w:val="CommentSubjectChar"/>
    <w:uiPriority w:val="99"/>
    <w:semiHidden/>
    <w:unhideWhenUsed/>
    <w:rsid w:val="00916BE5"/>
    <w:rPr>
      <w:b/>
      <w:bCs/>
    </w:rPr>
  </w:style>
  <w:style w:type="character" w:customStyle="1" w:styleId="CommentSubjectChar">
    <w:name w:val="Comment Subject Char"/>
    <w:basedOn w:val="CommentTextChar"/>
    <w:link w:val="CommentSubject"/>
    <w:uiPriority w:val="99"/>
    <w:semiHidden/>
    <w:rsid w:val="00916BE5"/>
    <w:rPr>
      <w:b/>
      <w:bCs/>
      <w:sz w:val="20"/>
      <w:szCs w:val="20"/>
    </w:rPr>
  </w:style>
  <w:style w:type="paragraph" w:styleId="BalloonText">
    <w:name w:val="Balloon Text"/>
    <w:basedOn w:val="Normal"/>
    <w:link w:val="BalloonTextChar"/>
    <w:uiPriority w:val="99"/>
    <w:semiHidden/>
    <w:unhideWhenUsed/>
    <w:rsid w:val="00916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BE5"/>
    <w:rPr>
      <w:rFonts w:ascii="Tahoma" w:hAnsi="Tahoma" w:cs="Tahoma"/>
      <w:sz w:val="16"/>
      <w:szCs w:val="16"/>
    </w:rPr>
  </w:style>
  <w:style w:type="paragraph" w:styleId="FootnoteText">
    <w:name w:val="footnote text"/>
    <w:basedOn w:val="Normal"/>
    <w:link w:val="FootnoteTextChar"/>
    <w:uiPriority w:val="99"/>
    <w:semiHidden/>
    <w:unhideWhenUsed/>
    <w:rsid w:val="00C93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242"/>
    <w:rPr>
      <w:sz w:val="20"/>
      <w:szCs w:val="20"/>
    </w:rPr>
  </w:style>
  <w:style w:type="character" w:styleId="FootnoteReference">
    <w:name w:val="footnote reference"/>
    <w:basedOn w:val="DefaultParagraphFont"/>
    <w:uiPriority w:val="99"/>
    <w:unhideWhenUsed/>
    <w:rsid w:val="00C93242"/>
    <w:rPr>
      <w:vertAlign w:val="superscript"/>
    </w:rPr>
  </w:style>
  <w:style w:type="paragraph" w:styleId="Title">
    <w:name w:val="Title"/>
    <w:basedOn w:val="Normal"/>
    <w:next w:val="Normal"/>
    <w:link w:val="TitleChar"/>
    <w:uiPriority w:val="10"/>
    <w:qFormat/>
    <w:rsid w:val="001874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48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87480"/>
    <w:rPr>
      <w:color w:val="0000FF" w:themeColor="hyperlink"/>
      <w:u w:val="single"/>
    </w:rPr>
  </w:style>
  <w:style w:type="paragraph" w:styleId="Subtitle">
    <w:name w:val="Subtitle"/>
    <w:basedOn w:val="Normal"/>
    <w:next w:val="Normal"/>
    <w:link w:val="SubtitleChar"/>
    <w:uiPriority w:val="11"/>
    <w:qFormat/>
    <w:rsid w:val="0030055D"/>
    <w:pPr>
      <w:numPr>
        <w:ilvl w:val="1"/>
      </w:numPr>
      <w:spacing w:before="240"/>
    </w:pPr>
    <w:rPr>
      <w:rFonts w:asciiTheme="majorHAnsi" w:eastAsiaTheme="majorEastAsia" w:hAnsiTheme="majorHAnsi" w:cstheme="majorBidi"/>
      <w:b/>
      <w:i/>
      <w:iCs/>
      <w:color w:val="4F81BD" w:themeColor="accent1"/>
      <w:spacing w:val="15"/>
      <w:sz w:val="32"/>
      <w:szCs w:val="32"/>
    </w:rPr>
  </w:style>
  <w:style w:type="character" w:customStyle="1" w:styleId="SubtitleChar">
    <w:name w:val="Subtitle Char"/>
    <w:basedOn w:val="DefaultParagraphFont"/>
    <w:link w:val="Subtitle"/>
    <w:uiPriority w:val="11"/>
    <w:rsid w:val="0030055D"/>
    <w:rPr>
      <w:rFonts w:asciiTheme="majorHAnsi" w:eastAsiaTheme="majorEastAsia" w:hAnsiTheme="majorHAnsi" w:cstheme="majorBidi"/>
      <w:b/>
      <w:i/>
      <w:iCs/>
      <w:color w:val="4F81BD" w:themeColor="accent1"/>
      <w:spacing w:val="15"/>
      <w:sz w:val="32"/>
      <w:szCs w:val="32"/>
    </w:rPr>
  </w:style>
  <w:style w:type="paragraph" w:styleId="Header">
    <w:name w:val="header"/>
    <w:basedOn w:val="Normal"/>
    <w:link w:val="HeaderChar"/>
    <w:uiPriority w:val="99"/>
    <w:unhideWhenUsed/>
    <w:rsid w:val="008A6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D79"/>
  </w:style>
  <w:style w:type="paragraph" w:styleId="Footer">
    <w:name w:val="footer"/>
    <w:basedOn w:val="Normal"/>
    <w:link w:val="FooterChar"/>
    <w:uiPriority w:val="99"/>
    <w:unhideWhenUsed/>
    <w:rsid w:val="008A6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D79"/>
  </w:style>
  <w:style w:type="character" w:styleId="FollowedHyperlink">
    <w:name w:val="FollowedHyperlink"/>
    <w:basedOn w:val="DefaultParagraphFont"/>
    <w:uiPriority w:val="99"/>
    <w:semiHidden/>
    <w:unhideWhenUsed/>
    <w:rsid w:val="009242C6"/>
    <w:rPr>
      <w:color w:val="800080" w:themeColor="followedHyperlink"/>
      <w:u w:val="single"/>
    </w:rPr>
  </w:style>
  <w:style w:type="paragraph" w:styleId="Revision">
    <w:name w:val="Revision"/>
    <w:hidden/>
    <w:uiPriority w:val="99"/>
    <w:semiHidden/>
    <w:rsid w:val="002F3DBC"/>
    <w:pPr>
      <w:spacing w:after="0" w:line="240" w:lineRule="auto"/>
    </w:pPr>
  </w:style>
  <w:style w:type="paragraph" w:styleId="ListParagraph">
    <w:name w:val="List Paragraph"/>
    <w:basedOn w:val="Normal"/>
    <w:uiPriority w:val="34"/>
    <w:qFormat/>
    <w:rsid w:val="007D6508"/>
    <w:pPr>
      <w:ind w:left="720"/>
      <w:contextualSpacing/>
    </w:pPr>
  </w:style>
  <w:style w:type="character" w:styleId="Emphasis">
    <w:name w:val="Emphasis"/>
    <w:basedOn w:val="DefaultParagraphFont"/>
    <w:uiPriority w:val="20"/>
    <w:qFormat/>
    <w:rsid w:val="00380A96"/>
    <w:rPr>
      <w:i/>
      <w:iCs/>
    </w:rPr>
  </w:style>
  <w:style w:type="character" w:customStyle="1" w:styleId="Heading1Char">
    <w:name w:val="Heading 1 Char"/>
    <w:basedOn w:val="DefaultParagraphFont"/>
    <w:link w:val="Heading1"/>
    <w:uiPriority w:val="9"/>
    <w:rsid w:val="00F837C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8240BE"/>
    <w:pPr>
      <w:keepNext/>
      <w:keepLines/>
      <w:pBdr>
        <w:bottom w:val="none" w:sz="0" w:space="0" w:color="auto"/>
      </w:pBdr>
      <w:spacing w:before="480" w:after="0" w:line="276" w:lineRule="auto"/>
      <w:contextualSpacing w:val="0"/>
      <w:outlineLvl w:val="9"/>
    </w:pPr>
    <w:rPr>
      <w:b/>
      <w:bCs/>
      <w:color w:val="365F91" w:themeColor="accent1" w:themeShade="BF"/>
      <w:spacing w:val="0"/>
      <w:kern w:val="0"/>
      <w:sz w:val="28"/>
      <w:szCs w:val="28"/>
      <w:lang w:eastAsia="ja-JP"/>
    </w:rPr>
  </w:style>
  <w:style w:type="paragraph" w:styleId="TOC1">
    <w:name w:val="toc 1"/>
    <w:basedOn w:val="Normal"/>
    <w:next w:val="Normal"/>
    <w:autoRedefine/>
    <w:uiPriority w:val="39"/>
    <w:unhideWhenUsed/>
    <w:rsid w:val="008240B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F837C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590"/>
    <w:pPr>
      <w:spacing w:after="0" w:line="240" w:lineRule="auto"/>
    </w:pPr>
  </w:style>
  <w:style w:type="character" w:styleId="CommentReference">
    <w:name w:val="annotation reference"/>
    <w:basedOn w:val="DefaultParagraphFont"/>
    <w:uiPriority w:val="99"/>
    <w:semiHidden/>
    <w:unhideWhenUsed/>
    <w:rsid w:val="00916BE5"/>
    <w:rPr>
      <w:sz w:val="16"/>
      <w:szCs w:val="16"/>
    </w:rPr>
  </w:style>
  <w:style w:type="paragraph" w:styleId="CommentText">
    <w:name w:val="annotation text"/>
    <w:basedOn w:val="Normal"/>
    <w:link w:val="CommentTextChar"/>
    <w:uiPriority w:val="99"/>
    <w:semiHidden/>
    <w:unhideWhenUsed/>
    <w:rsid w:val="00916BE5"/>
    <w:pPr>
      <w:spacing w:line="240" w:lineRule="auto"/>
    </w:pPr>
    <w:rPr>
      <w:sz w:val="20"/>
      <w:szCs w:val="20"/>
    </w:rPr>
  </w:style>
  <w:style w:type="character" w:customStyle="1" w:styleId="CommentTextChar">
    <w:name w:val="Comment Text Char"/>
    <w:basedOn w:val="DefaultParagraphFont"/>
    <w:link w:val="CommentText"/>
    <w:uiPriority w:val="99"/>
    <w:semiHidden/>
    <w:rsid w:val="00916BE5"/>
    <w:rPr>
      <w:sz w:val="20"/>
      <w:szCs w:val="20"/>
    </w:rPr>
  </w:style>
  <w:style w:type="paragraph" w:styleId="CommentSubject">
    <w:name w:val="annotation subject"/>
    <w:basedOn w:val="CommentText"/>
    <w:next w:val="CommentText"/>
    <w:link w:val="CommentSubjectChar"/>
    <w:uiPriority w:val="99"/>
    <w:semiHidden/>
    <w:unhideWhenUsed/>
    <w:rsid w:val="00916BE5"/>
    <w:rPr>
      <w:b/>
      <w:bCs/>
    </w:rPr>
  </w:style>
  <w:style w:type="character" w:customStyle="1" w:styleId="CommentSubjectChar">
    <w:name w:val="Comment Subject Char"/>
    <w:basedOn w:val="CommentTextChar"/>
    <w:link w:val="CommentSubject"/>
    <w:uiPriority w:val="99"/>
    <w:semiHidden/>
    <w:rsid w:val="00916BE5"/>
    <w:rPr>
      <w:b/>
      <w:bCs/>
      <w:sz w:val="20"/>
      <w:szCs w:val="20"/>
    </w:rPr>
  </w:style>
  <w:style w:type="paragraph" w:styleId="BalloonText">
    <w:name w:val="Balloon Text"/>
    <w:basedOn w:val="Normal"/>
    <w:link w:val="BalloonTextChar"/>
    <w:uiPriority w:val="99"/>
    <w:semiHidden/>
    <w:unhideWhenUsed/>
    <w:rsid w:val="00916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BE5"/>
    <w:rPr>
      <w:rFonts w:ascii="Tahoma" w:hAnsi="Tahoma" w:cs="Tahoma"/>
      <w:sz w:val="16"/>
      <w:szCs w:val="16"/>
    </w:rPr>
  </w:style>
  <w:style w:type="paragraph" w:styleId="FootnoteText">
    <w:name w:val="footnote text"/>
    <w:basedOn w:val="Normal"/>
    <w:link w:val="FootnoteTextChar"/>
    <w:uiPriority w:val="99"/>
    <w:semiHidden/>
    <w:unhideWhenUsed/>
    <w:rsid w:val="00C93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242"/>
    <w:rPr>
      <w:sz w:val="20"/>
      <w:szCs w:val="20"/>
    </w:rPr>
  </w:style>
  <w:style w:type="character" w:styleId="FootnoteReference">
    <w:name w:val="footnote reference"/>
    <w:basedOn w:val="DefaultParagraphFont"/>
    <w:uiPriority w:val="99"/>
    <w:unhideWhenUsed/>
    <w:rsid w:val="00C93242"/>
    <w:rPr>
      <w:vertAlign w:val="superscript"/>
    </w:rPr>
  </w:style>
  <w:style w:type="paragraph" w:styleId="Title">
    <w:name w:val="Title"/>
    <w:basedOn w:val="Normal"/>
    <w:next w:val="Normal"/>
    <w:link w:val="TitleChar"/>
    <w:uiPriority w:val="10"/>
    <w:qFormat/>
    <w:rsid w:val="001874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48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87480"/>
    <w:rPr>
      <w:color w:val="0000FF" w:themeColor="hyperlink"/>
      <w:u w:val="single"/>
    </w:rPr>
  </w:style>
  <w:style w:type="paragraph" w:styleId="Subtitle">
    <w:name w:val="Subtitle"/>
    <w:basedOn w:val="Normal"/>
    <w:next w:val="Normal"/>
    <w:link w:val="SubtitleChar"/>
    <w:uiPriority w:val="11"/>
    <w:qFormat/>
    <w:rsid w:val="0030055D"/>
    <w:pPr>
      <w:numPr>
        <w:ilvl w:val="1"/>
      </w:numPr>
      <w:spacing w:before="240"/>
    </w:pPr>
    <w:rPr>
      <w:rFonts w:asciiTheme="majorHAnsi" w:eastAsiaTheme="majorEastAsia" w:hAnsiTheme="majorHAnsi" w:cstheme="majorBidi"/>
      <w:b/>
      <w:i/>
      <w:iCs/>
      <w:color w:val="4F81BD" w:themeColor="accent1"/>
      <w:spacing w:val="15"/>
      <w:sz w:val="32"/>
      <w:szCs w:val="32"/>
    </w:rPr>
  </w:style>
  <w:style w:type="character" w:customStyle="1" w:styleId="SubtitleChar">
    <w:name w:val="Subtitle Char"/>
    <w:basedOn w:val="DefaultParagraphFont"/>
    <w:link w:val="Subtitle"/>
    <w:uiPriority w:val="11"/>
    <w:rsid w:val="0030055D"/>
    <w:rPr>
      <w:rFonts w:asciiTheme="majorHAnsi" w:eastAsiaTheme="majorEastAsia" w:hAnsiTheme="majorHAnsi" w:cstheme="majorBidi"/>
      <w:b/>
      <w:i/>
      <w:iCs/>
      <w:color w:val="4F81BD" w:themeColor="accent1"/>
      <w:spacing w:val="15"/>
      <w:sz w:val="32"/>
      <w:szCs w:val="32"/>
    </w:rPr>
  </w:style>
  <w:style w:type="paragraph" w:styleId="Header">
    <w:name w:val="header"/>
    <w:basedOn w:val="Normal"/>
    <w:link w:val="HeaderChar"/>
    <w:uiPriority w:val="99"/>
    <w:unhideWhenUsed/>
    <w:rsid w:val="008A6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D79"/>
  </w:style>
  <w:style w:type="paragraph" w:styleId="Footer">
    <w:name w:val="footer"/>
    <w:basedOn w:val="Normal"/>
    <w:link w:val="FooterChar"/>
    <w:uiPriority w:val="99"/>
    <w:unhideWhenUsed/>
    <w:rsid w:val="008A6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D79"/>
  </w:style>
  <w:style w:type="character" w:styleId="FollowedHyperlink">
    <w:name w:val="FollowedHyperlink"/>
    <w:basedOn w:val="DefaultParagraphFont"/>
    <w:uiPriority w:val="99"/>
    <w:semiHidden/>
    <w:unhideWhenUsed/>
    <w:rsid w:val="009242C6"/>
    <w:rPr>
      <w:color w:val="800080" w:themeColor="followedHyperlink"/>
      <w:u w:val="single"/>
    </w:rPr>
  </w:style>
  <w:style w:type="paragraph" w:styleId="Revision">
    <w:name w:val="Revision"/>
    <w:hidden/>
    <w:uiPriority w:val="99"/>
    <w:semiHidden/>
    <w:rsid w:val="002F3DBC"/>
    <w:pPr>
      <w:spacing w:after="0" w:line="240" w:lineRule="auto"/>
    </w:pPr>
  </w:style>
  <w:style w:type="paragraph" w:styleId="ListParagraph">
    <w:name w:val="List Paragraph"/>
    <w:basedOn w:val="Normal"/>
    <w:uiPriority w:val="34"/>
    <w:qFormat/>
    <w:rsid w:val="007D6508"/>
    <w:pPr>
      <w:ind w:left="720"/>
      <w:contextualSpacing/>
    </w:pPr>
  </w:style>
  <w:style w:type="character" w:styleId="Emphasis">
    <w:name w:val="Emphasis"/>
    <w:basedOn w:val="DefaultParagraphFont"/>
    <w:uiPriority w:val="20"/>
    <w:qFormat/>
    <w:rsid w:val="00380A96"/>
    <w:rPr>
      <w:i/>
      <w:iCs/>
    </w:rPr>
  </w:style>
  <w:style w:type="character" w:customStyle="1" w:styleId="Heading1Char">
    <w:name w:val="Heading 1 Char"/>
    <w:basedOn w:val="DefaultParagraphFont"/>
    <w:link w:val="Heading1"/>
    <w:uiPriority w:val="9"/>
    <w:rsid w:val="00F837C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8240BE"/>
    <w:pPr>
      <w:keepNext/>
      <w:keepLines/>
      <w:pBdr>
        <w:bottom w:val="none" w:sz="0" w:space="0" w:color="auto"/>
      </w:pBdr>
      <w:spacing w:before="480" w:after="0" w:line="276" w:lineRule="auto"/>
      <w:contextualSpacing w:val="0"/>
      <w:outlineLvl w:val="9"/>
    </w:pPr>
    <w:rPr>
      <w:b/>
      <w:bCs/>
      <w:color w:val="365F91" w:themeColor="accent1" w:themeShade="BF"/>
      <w:spacing w:val="0"/>
      <w:kern w:val="0"/>
      <w:sz w:val="28"/>
      <w:szCs w:val="28"/>
      <w:lang w:eastAsia="ja-JP"/>
    </w:rPr>
  </w:style>
  <w:style w:type="paragraph" w:styleId="TOC1">
    <w:name w:val="toc 1"/>
    <w:basedOn w:val="Normal"/>
    <w:next w:val="Normal"/>
    <w:autoRedefine/>
    <w:uiPriority w:val="39"/>
    <w:unhideWhenUsed/>
    <w:rsid w:val="008240B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4336">
      <w:bodyDiv w:val="1"/>
      <w:marLeft w:val="0"/>
      <w:marRight w:val="0"/>
      <w:marTop w:val="0"/>
      <w:marBottom w:val="0"/>
      <w:divBdr>
        <w:top w:val="none" w:sz="0" w:space="0" w:color="auto"/>
        <w:left w:val="none" w:sz="0" w:space="0" w:color="auto"/>
        <w:bottom w:val="none" w:sz="0" w:space="0" w:color="auto"/>
        <w:right w:val="none" w:sz="0" w:space="0" w:color="auto"/>
      </w:divBdr>
    </w:div>
    <w:div w:id="605188750">
      <w:bodyDiv w:val="1"/>
      <w:marLeft w:val="0"/>
      <w:marRight w:val="0"/>
      <w:marTop w:val="0"/>
      <w:marBottom w:val="0"/>
      <w:divBdr>
        <w:top w:val="none" w:sz="0" w:space="0" w:color="auto"/>
        <w:left w:val="none" w:sz="0" w:space="0" w:color="auto"/>
        <w:bottom w:val="none" w:sz="0" w:space="0" w:color="auto"/>
        <w:right w:val="none" w:sz="0" w:space="0" w:color="auto"/>
      </w:divBdr>
    </w:div>
    <w:div w:id="8161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acpyouth.org/Portals/0/Content_Files/An%20Improved%20Police%20Response%20to%20Juveniles%20in%20Crisis.pdf" TargetMode="External"/><Relationship Id="rId13" Type="http://schemas.openxmlformats.org/officeDocument/2006/relationships/hyperlink" Target="https://www.ncmhjj.com/wp-content/uploads/2013/07/CIT-Y-Brief-2012.pdf" TargetMode="External"/><Relationship Id="rId18" Type="http://schemas.openxmlformats.org/officeDocument/2006/relationships/hyperlink" Target="https://www.legalaid.vic.gov.au/sites/www.legalaid.vic.gov.au/files/vla-care-not-custody-report.pdf" TargetMode="External"/><Relationship Id="rId3" Type="http://schemas.openxmlformats.org/officeDocument/2006/relationships/hyperlink" Target="http://bangordailynews.com/2017/02/28/uncategorized/document-long-creek-profile-final-report-2016/?ref=relatedSidebar" TargetMode="External"/><Relationship Id="rId7" Type="http://schemas.openxmlformats.org/officeDocument/2006/relationships/hyperlink" Target="https://www1.maine.gov/corrections/juvenile/Community/index.htm" TargetMode="External"/><Relationship Id="rId12" Type="http://schemas.openxmlformats.org/officeDocument/2006/relationships/hyperlink" Target="http://www.mass.gov/eohhs/docs/masshealth/cbhi/practice-guidelines-mci.doc" TargetMode="External"/><Relationship Id="rId17" Type="http://schemas.openxmlformats.org/officeDocument/2006/relationships/hyperlink" Target="https://www.juvjustice.org/our-work/safety-opportunity-and-success-project/national-standards/section-iv-recommendations-pol-10" TargetMode="External"/><Relationship Id="rId2" Type="http://schemas.openxmlformats.org/officeDocument/2006/relationships/hyperlink" Target="http://www.qualitycareforme.com/media/1465/pnmi-bed-occupancy-child-mh.xls" TargetMode="External"/><Relationship Id="rId16" Type="http://schemas.openxmlformats.org/officeDocument/2006/relationships/hyperlink" Target="http://leginfo.legislature.ca.gov/faces/billTextClient.xhtml?bill_id=201320140AB388" TargetMode="External"/><Relationship Id="rId1" Type="http://schemas.openxmlformats.org/officeDocument/2006/relationships/hyperlink" Target="http://bangordailynews.com/2017/02/28/uncategorized/document-long-creek-profile-final-report-2016/?ref=relatedSidebar" TargetMode="External"/><Relationship Id="rId6" Type="http://schemas.openxmlformats.org/officeDocument/2006/relationships/hyperlink" Target="http://www.maine.gov/dhhs/ocfs/cbhs/provider/documents/OCFSReportableEventsMatrix3.20.17.docx" TargetMode="External"/><Relationship Id="rId11" Type="http://schemas.openxmlformats.org/officeDocument/2006/relationships/hyperlink" Target="http://www.iacpyouth.org/Portals/0/Content_Files/An%20Improved%20Police%20Response%20to%20Juveniles%20in%20Crisis.pdf" TargetMode="External"/><Relationship Id="rId5" Type="http://schemas.openxmlformats.org/officeDocument/2006/relationships/hyperlink" Target="http://www.maine.gov/dhhs/ocfs/cbhs/provider/reportable-events.shtml" TargetMode="External"/><Relationship Id="rId15" Type="http://schemas.openxmlformats.org/officeDocument/2006/relationships/hyperlink" Target="http://leginfo.legislature.ca.gov/faces/billTextClient.xhtml?bill_id=201320140AB388" TargetMode="External"/><Relationship Id="rId10" Type="http://schemas.openxmlformats.org/officeDocument/2006/relationships/hyperlink" Target="http://www.iacpyouth.org/Portals/0/Content_Files/An%20Improved%20Police%20Response%20to%20Juveniles%20in%20Crisis.pdf" TargetMode="External"/><Relationship Id="rId19" Type="http://schemas.openxmlformats.org/officeDocument/2006/relationships/hyperlink" Target="http://jlc.org/sites/default/files/publication_pdfs/Pre-Adjudication_Diversion_Policy_Guide2.pdf" TargetMode="External"/><Relationship Id="rId4" Type="http://schemas.openxmlformats.org/officeDocument/2006/relationships/hyperlink" Target="http://www.pressherald.com/media/document/long-creek-board-visitors-2016-report/" TargetMode="External"/><Relationship Id="rId9" Type="http://schemas.openxmlformats.org/officeDocument/2006/relationships/hyperlink" Target="http://www.namimaine.org/?page=MHFA" TargetMode="External"/><Relationship Id="rId14" Type="http://schemas.openxmlformats.org/officeDocument/2006/relationships/hyperlink" Target="https://www.ncmhjj.com/wp-content/uploads/2013/07/CIT-Y-Brief-2012.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rm-fs1\data\Litigation\Interns-Externs\Barrett%20Littlefield\PD%20Records%20Requests\FINAL%20REPORT%20DATA%20(update%205-15)\RTF%20Data%20Spreadsheet%20BJ.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m-fs1\data\Litigation\Interns-Externs\Barrett%20Littlefield\PD%20Records%20Requests\FINAL%20REPORT%20DATA%20(update%205-15)\RTF%20Data%20Spreadsheet%20B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800" b="1" i="0" baseline="0">
                <a:effectLst/>
              </a:rPr>
              <a:t>Reasons for Calls to Law Enforcement from Residential Treatment Facilities</a:t>
            </a:r>
            <a:endParaRPr lang="en-US">
              <a:effectLst/>
            </a:endParaRPr>
          </a:p>
        </c:rich>
      </c:tx>
      <c:overlay val="1"/>
    </c:title>
    <c:autoTitleDeleted val="0"/>
    <c:plotArea>
      <c:layout>
        <c:manualLayout>
          <c:layoutTarget val="inner"/>
          <c:xMode val="edge"/>
          <c:yMode val="edge"/>
          <c:x val="2.19017094017094E-2"/>
          <c:y val="0.18939554507291839"/>
          <c:w val="0.82799145299145294"/>
          <c:h val="0.71975082832751902"/>
        </c:manualLayout>
      </c:layout>
      <c:ofPieChart>
        <c:ofPieType val="bar"/>
        <c:varyColors val="1"/>
        <c:ser>
          <c:idx val="0"/>
          <c:order val="0"/>
          <c:dPt>
            <c:idx val="0"/>
            <c:bubble3D val="0"/>
          </c:dPt>
          <c:dPt>
            <c:idx val="1"/>
            <c:bubble3D val="0"/>
          </c:dPt>
          <c:dPt>
            <c:idx val="2"/>
            <c:bubble3D val="0"/>
          </c:dPt>
          <c:dPt>
            <c:idx val="6"/>
            <c:bubble3D val="0"/>
          </c:dPt>
          <c:dLbls>
            <c:dLbl>
              <c:idx val="4"/>
              <c:layout>
                <c:manualLayout>
                  <c:x val="3.8039740224779593E-2"/>
                  <c:y val="-0.15770297211210155"/>
                </c:manualLayout>
              </c:layout>
              <c:dLblPos val="bestFit"/>
              <c:showLegendKey val="0"/>
              <c:showVal val="1"/>
              <c:showCatName val="1"/>
              <c:showSerName val="0"/>
              <c:showPercent val="0"/>
              <c:showBubbleSize val="0"/>
            </c:dLbl>
            <c:dLbl>
              <c:idx val="5"/>
              <c:layout>
                <c:manualLayout>
                  <c:x val="1.1130291405881957E-2"/>
                  <c:y val="1.8210675134029491E-2"/>
                </c:manualLayout>
              </c:layout>
              <c:dLblPos val="bestFit"/>
              <c:showLegendKey val="0"/>
              <c:showVal val="1"/>
              <c:showCatName val="1"/>
              <c:showSerName val="0"/>
              <c:showPercent val="0"/>
              <c:showBubbleSize val="0"/>
            </c:dLbl>
            <c:dLbl>
              <c:idx val="7"/>
              <c:layout>
                <c:manualLayout>
                  <c:x val="-6.41025641025641E-3"/>
                  <c:y val="-1.8978620552177757E-2"/>
                </c:manualLayout>
              </c:layout>
              <c:dLblPos val="bestFit"/>
              <c:showLegendKey val="0"/>
              <c:showVal val="1"/>
              <c:showCatName val="1"/>
              <c:showSerName val="0"/>
              <c:showPercent val="0"/>
              <c:showBubbleSize val="0"/>
            </c:dLbl>
            <c:dLbl>
              <c:idx val="8"/>
              <c:layout>
                <c:manualLayout>
                  <c:x val="-6.41025641025641E-3"/>
                  <c:y val="-1.8981112329313266E-2"/>
                </c:manualLayout>
              </c:layout>
              <c:dLblPos val="bestFit"/>
              <c:showLegendKey val="0"/>
              <c:showVal val="1"/>
              <c:showCatName val="1"/>
              <c:showSerName val="0"/>
              <c:showPercent val="0"/>
              <c:showBubbleSize val="0"/>
            </c:dLbl>
            <c:dLbl>
              <c:idx val="9"/>
              <c:layout>
                <c:manualLayout>
                  <c:x val="-6.41025641025641E-3"/>
                  <c:y val="-6.3266221469151802E-3"/>
                </c:manualLayout>
              </c:layout>
              <c:dLblPos val="bestFit"/>
              <c:showLegendKey val="0"/>
              <c:showVal val="1"/>
              <c:showCatName val="1"/>
              <c:showSerName val="0"/>
              <c:showPercent val="0"/>
              <c:showBubbleSize val="0"/>
            </c:dLbl>
            <c:dLbl>
              <c:idx val="10"/>
              <c:layout>
                <c:manualLayout>
                  <c:x val="-6.41025641025641E-3"/>
                  <c:y val="6.3066879298315556E-3"/>
                </c:manualLayout>
              </c:layout>
              <c:dLblPos val="bestFit"/>
              <c:showLegendKey val="0"/>
              <c:showVal val="1"/>
              <c:showCatName val="1"/>
              <c:showSerName val="0"/>
              <c:showPercent val="0"/>
              <c:showBubbleSize val="0"/>
            </c:dLbl>
            <c:dLbl>
              <c:idx val="11"/>
              <c:layout>
                <c:manualLayout>
                  <c:x val="3.7889746954707586E-2"/>
                  <c:y val="7.4985528501131313E-2"/>
                </c:manualLayout>
              </c:layout>
              <c:dLblPos val="bestFit"/>
              <c:showLegendKey val="0"/>
              <c:showVal val="1"/>
              <c:showCatName val="1"/>
              <c:showSerName val="0"/>
              <c:showPercent val="0"/>
              <c:showBubbleSize val="0"/>
            </c:dLbl>
            <c:dLblPos val="bestFit"/>
            <c:showLegendKey val="0"/>
            <c:showVal val="1"/>
            <c:showCatName val="1"/>
            <c:showSerName val="0"/>
            <c:showPercent val="0"/>
            <c:showBubbleSize val="0"/>
            <c:showLeaderLines val="1"/>
          </c:dLbls>
          <c:cat>
            <c:strRef>
              <c:f>'Reason for Call Chart'!$A$1:$K$1</c:f>
              <c:strCache>
                <c:ptCount val="11"/>
                <c:pt idx="0">
                  <c:v>Juvenile Problem</c:v>
                </c:pt>
                <c:pt idx="1">
                  <c:v>Runaway /Missing</c:v>
                </c:pt>
                <c:pt idx="2">
                  <c:v>Mental Health /Medical</c:v>
                </c:pt>
                <c:pt idx="3">
                  <c:v>Assault</c:v>
                </c:pt>
                <c:pt idx="4">
                  <c:v>Investigation /Information</c:v>
                </c:pt>
                <c:pt idx="5">
                  <c:v>Probation</c:v>
                </c:pt>
                <c:pt idx="6">
                  <c:v>Sex Offense</c:v>
                </c:pt>
                <c:pt idx="7">
                  <c:v>Drugs</c:v>
                </c:pt>
                <c:pt idx="8">
                  <c:v>LE Visit</c:v>
                </c:pt>
                <c:pt idx="9">
                  <c:v>Theft</c:v>
                </c:pt>
                <c:pt idx="10">
                  <c:v>Other</c:v>
                </c:pt>
              </c:strCache>
            </c:strRef>
          </c:cat>
          <c:val>
            <c:numRef>
              <c:f>'Reason for Call Chart'!$A$29:$K$29</c:f>
              <c:numCache>
                <c:formatCode>0.0%</c:formatCode>
                <c:ptCount val="11"/>
                <c:pt idx="0">
                  <c:v>0.3852760736196319</c:v>
                </c:pt>
                <c:pt idx="1">
                  <c:v>0.37791411042944784</c:v>
                </c:pt>
                <c:pt idx="2">
                  <c:v>0.10184049079754601</c:v>
                </c:pt>
                <c:pt idx="3">
                  <c:v>6.7484662576687116E-2</c:v>
                </c:pt>
                <c:pt idx="4">
                  <c:v>3.1901840490797549E-2</c:v>
                </c:pt>
                <c:pt idx="5">
                  <c:v>1.4723926380368098E-2</c:v>
                </c:pt>
                <c:pt idx="6">
                  <c:v>6.1349693251533744E-3</c:v>
                </c:pt>
                <c:pt idx="7">
                  <c:v>4.9079754601226997E-3</c:v>
                </c:pt>
                <c:pt idx="8">
                  <c:v>4.9079754601226997E-3</c:v>
                </c:pt>
                <c:pt idx="9">
                  <c:v>3.6809815950920245E-3</c:v>
                </c:pt>
                <c:pt idx="10">
                  <c:v>1.2269938650306749E-3</c:v>
                </c:pt>
              </c:numCache>
            </c:numRef>
          </c:val>
        </c:ser>
        <c:dLbls>
          <c:showLegendKey val="0"/>
          <c:showVal val="0"/>
          <c:showCatName val="1"/>
          <c:showSerName val="0"/>
          <c:showPercent val="1"/>
          <c:showBubbleSize val="0"/>
          <c:showLeaderLines val="1"/>
        </c:dLbls>
        <c:gapWidth val="148"/>
        <c:splitType val="pos"/>
        <c:splitPos val="5"/>
        <c:secondPieSize val="56"/>
        <c:serLines/>
      </c:of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en-US"/>
              <a:t>Residential Provider Reporting Rate</a:t>
            </a:r>
          </a:p>
          <a:p>
            <a:pPr>
              <a:defRPr/>
            </a:pPr>
            <a:r>
              <a:rPr lang="en-US"/>
              <a:t>for Calls to Law Enforcement</a:t>
            </a:r>
          </a:p>
        </c:rich>
      </c:tx>
      <c:overlay val="0"/>
    </c:title>
    <c:autoTitleDeleted val="0"/>
    <c:plotArea>
      <c:layout/>
      <c:pieChart>
        <c:varyColors val="1"/>
        <c:ser>
          <c:idx val="0"/>
          <c:order val="0"/>
          <c:dLbls>
            <c:dLbl>
              <c:idx val="0"/>
              <c:layout>
                <c:manualLayout>
                  <c:x val="-1.0336504811898514E-2"/>
                  <c:y val="-0.12871063663054388"/>
                </c:manualLayout>
              </c:layout>
              <c:showLegendKey val="0"/>
              <c:showVal val="0"/>
              <c:showCatName val="1"/>
              <c:showSerName val="0"/>
              <c:showPercent val="1"/>
              <c:showBubbleSize val="0"/>
            </c:dLbl>
            <c:dLbl>
              <c:idx val="1"/>
              <c:layout>
                <c:manualLayout>
                  <c:x val="-7.9625984251968512E-3"/>
                  <c:y val="3.5034271022870607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'Reported v. Unreported Chart'!$A$2:$B$2</c:f>
              <c:strCache>
                <c:ptCount val="2"/>
                <c:pt idx="0">
                  <c:v>Reported to DHHS</c:v>
                </c:pt>
                <c:pt idx="1">
                  <c:v>Failed to report to DHHS</c:v>
                </c:pt>
              </c:strCache>
            </c:strRef>
          </c:cat>
          <c:val>
            <c:numRef>
              <c:f>'Reported v. Unreported Chart'!$A$3:$B$3</c:f>
              <c:numCache>
                <c:formatCode>General</c:formatCode>
                <c:ptCount val="2"/>
                <c:pt idx="0">
                  <c:v>332</c:v>
                </c:pt>
                <c:pt idx="1">
                  <c:v>483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8FC0-B9C5-4D39-AE9C-AC2938F3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4778</Words>
  <Characters>27236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Disability Rights Maine</dc:creator>
  <cp:lastModifiedBy>Sara R. Squires</cp:lastModifiedBy>
  <cp:revision>2</cp:revision>
  <cp:lastPrinted>2017-08-08T20:43:00Z</cp:lastPrinted>
  <dcterms:created xsi:type="dcterms:W3CDTF">2017-08-08T20:44:00Z</dcterms:created>
  <dcterms:modified xsi:type="dcterms:W3CDTF">2017-08-08T20:44:00Z</dcterms:modified>
</cp:coreProperties>
</file>