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69546" w14:textId="77777777" w:rsidR="00C17051" w:rsidRDefault="00C17051" w:rsidP="00846811"/>
    <w:p w14:paraId="74896921" w14:textId="77777777" w:rsidR="00C453A6" w:rsidRDefault="00C453A6" w:rsidP="0007757B">
      <w:pPr>
        <w:spacing w:after="0"/>
        <w:jc w:val="center"/>
        <w:rPr>
          <w:rStyle w:val="ui-provider"/>
          <w:b/>
          <w:sz w:val="72"/>
          <w:szCs w:val="72"/>
        </w:rPr>
      </w:pPr>
    </w:p>
    <w:p w14:paraId="56931ADC" w14:textId="77777777" w:rsidR="00C453A6" w:rsidRDefault="00C453A6" w:rsidP="0007757B">
      <w:pPr>
        <w:spacing w:after="0"/>
        <w:jc w:val="center"/>
        <w:rPr>
          <w:rStyle w:val="ui-provider"/>
          <w:b/>
          <w:sz w:val="72"/>
          <w:szCs w:val="72"/>
        </w:rPr>
      </w:pPr>
    </w:p>
    <w:p w14:paraId="647A5E22" w14:textId="77777777" w:rsidR="00C453A6" w:rsidRPr="00C453A6" w:rsidRDefault="00DA1823" w:rsidP="0007757B">
      <w:pPr>
        <w:spacing w:after="0"/>
        <w:jc w:val="center"/>
        <w:rPr>
          <w:rStyle w:val="ui-provider"/>
          <w:b/>
          <w:sz w:val="72"/>
          <w:szCs w:val="72"/>
        </w:rPr>
      </w:pPr>
      <w:r w:rsidRPr="00C453A6">
        <w:rPr>
          <w:rStyle w:val="ui-provider"/>
          <w:b/>
          <w:sz w:val="72"/>
          <w:szCs w:val="72"/>
        </w:rPr>
        <w:t>Overprotected and Underrepresented</w:t>
      </w:r>
    </w:p>
    <w:p w14:paraId="457A33FD" w14:textId="77777777" w:rsidR="00C453A6" w:rsidRDefault="00C453A6" w:rsidP="0007757B">
      <w:pPr>
        <w:spacing w:after="0"/>
        <w:jc w:val="center"/>
        <w:rPr>
          <w:rStyle w:val="ui-provider"/>
          <w:b/>
          <w:sz w:val="48"/>
          <w:szCs w:val="48"/>
        </w:rPr>
      </w:pPr>
    </w:p>
    <w:p w14:paraId="7C29517D" w14:textId="77777777" w:rsidR="00C17051" w:rsidRPr="00C453A6" w:rsidRDefault="00DA1823" w:rsidP="00C453A6">
      <w:pPr>
        <w:spacing w:after="0"/>
        <w:jc w:val="center"/>
        <w:rPr>
          <w:b/>
          <w:sz w:val="48"/>
          <w:szCs w:val="48"/>
        </w:rPr>
      </w:pPr>
      <w:r w:rsidRPr="00DA1823">
        <w:rPr>
          <w:rStyle w:val="ui-provider"/>
          <w:b/>
          <w:sz w:val="48"/>
          <w:szCs w:val="48"/>
        </w:rPr>
        <w:t xml:space="preserve">An Analysis of </w:t>
      </w:r>
      <w:r w:rsidR="000E485A">
        <w:rPr>
          <w:rStyle w:val="ui-provider"/>
          <w:b/>
          <w:sz w:val="48"/>
          <w:szCs w:val="48"/>
        </w:rPr>
        <w:t xml:space="preserve">Adult </w:t>
      </w:r>
      <w:r w:rsidRPr="00DA1823">
        <w:rPr>
          <w:rStyle w:val="ui-provider"/>
          <w:b/>
          <w:sz w:val="48"/>
          <w:szCs w:val="48"/>
        </w:rPr>
        <w:t>Guar</w:t>
      </w:r>
      <w:bookmarkStart w:id="0" w:name="_GoBack"/>
      <w:bookmarkEnd w:id="0"/>
      <w:r w:rsidRPr="00DA1823">
        <w:rPr>
          <w:rStyle w:val="ui-provider"/>
          <w:b/>
          <w:sz w:val="48"/>
          <w:szCs w:val="48"/>
        </w:rPr>
        <w:t>dianship in Maine</w:t>
      </w:r>
    </w:p>
    <w:p w14:paraId="58282DC8" w14:textId="77777777" w:rsidR="00C17051" w:rsidRDefault="00C17051" w:rsidP="0007757B">
      <w:pPr>
        <w:spacing w:after="0"/>
      </w:pPr>
    </w:p>
    <w:p w14:paraId="187137C9" w14:textId="77777777" w:rsidR="00C17051" w:rsidRDefault="00C17051" w:rsidP="0007757B">
      <w:pPr>
        <w:spacing w:after="0"/>
      </w:pPr>
    </w:p>
    <w:p w14:paraId="4A75E399" w14:textId="77777777" w:rsidR="00C17051" w:rsidRDefault="00C17051" w:rsidP="0007757B">
      <w:pPr>
        <w:spacing w:after="0"/>
      </w:pPr>
    </w:p>
    <w:p w14:paraId="27A94CA9" w14:textId="77777777" w:rsidR="00C17051" w:rsidRDefault="00C17051" w:rsidP="0007757B">
      <w:pPr>
        <w:spacing w:after="0"/>
      </w:pPr>
    </w:p>
    <w:p w14:paraId="24EEAE56" w14:textId="77777777" w:rsidR="00C17051" w:rsidRDefault="00C17051" w:rsidP="0007757B">
      <w:pPr>
        <w:spacing w:after="0"/>
      </w:pPr>
    </w:p>
    <w:p w14:paraId="73A2E2E5" w14:textId="77777777" w:rsidR="00C17051" w:rsidRDefault="00C17051" w:rsidP="0007757B">
      <w:pPr>
        <w:spacing w:after="0"/>
      </w:pPr>
    </w:p>
    <w:p w14:paraId="4AE75A3C" w14:textId="77777777" w:rsidR="00C17051" w:rsidRDefault="00C17051" w:rsidP="0007757B">
      <w:pPr>
        <w:spacing w:after="0"/>
      </w:pPr>
    </w:p>
    <w:p w14:paraId="287D9121" w14:textId="77777777" w:rsidR="00C17051" w:rsidRDefault="00C17051" w:rsidP="0007757B">
      <w:pPr>
        <w:spacing w:after="0"/>
      </w:pPr>
    </w:p>
    <w:p w14:paraId="743576F4" w14:textId="77777777" w:rsidR="00C17051" w:rsidRDefault="00C17051" w:rsidP="0007757B">
      <w:pPr>
        <w:spacing w:after="0"/>
      </w:pPr>
    </w:p>
    <w:p w14:paraId="422151EC" w14:textId="77777777" w:rsidR="00C17051" w:rsidRDefault="00C17051" w:rsidP="0007757B">
      <w:pPr>
        <w:spacing w:after="0"/>
      </w:pPr>
    </w:p>
    <w:p w14:paraId="13509823" w14:textId="77777777" w:rsidR="00C17051" w:rsidRDefault="00C17051" w:rsidP="0007757B">
      <w:pPr>
        <w:spacing w:after="0"/>
      </w:pPr>
    </w:p>
    <w:p w14:paraId="15E9428C" w14:textId="77777777" w:rsidR="00C17051" w:rsidRDefault="00C453A6" w:rsidP="0007757B">
      <w:pPr>
        <w:spacing w:after="0"/>
      </w:pPr>
      <w:r w:rsidRPr="00DA1823">
        <w:rPr>
          <w:rFonts w:cs="Times New Roman"/>
          <w:b/>
          <w:i/>
          <w:noProof/>
          <w:sz w:val="48"/>
          <w:szCs w:val="48"/>
          <w:highlight w:val="yellow"/>
        </w:rPr>
        <w:drawing>
          <wp:anchor distT="0" distB="0" distL="114300" distR="114300" simplePos="0" relativeHeight="251659264" behindDoc="1" locked="0" layoutInCell="1" allowOverlap="1" wp14:anchorId="0CB3D25A" wp14:editId="699970CE">
            <wp:simplePos x="0" y="0"/>
            <wp:positionH relativeFrom="margin">
              <wp:align>center</wp:align>
            </wp:positionH>
            <wp:positionV relativeFrom="margin">
              <wp:posOffset>5343525</wp:posOffset>
            </wp:positionV>
            <wp:extent cx="1933575" cy="1283335"/>
            <wp:effectExtent l="0" t="0" r="9525" b="0"/>
            <wp:wrapTopAndBottom/>
            <wp:docPr id="1" name="Picture 1" descr="Two-tone blue logo on a white background.  The words &quot;Disability Rights Maine&quot; are stacked in 3 lines.  And outline of the State of Maine follows the word &quot;Maine.&quot;" title="Disability Rights Ma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_logo_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1283335"/>
                    </a:xfrm>
                    <a:prstGeom prst="rect">
                      <a:avLst/>
                    </a:prstGeom>
                  </pic:spPr>
                </pic:pic>
              </a:graphicData>
            </a:graphic>
            <wp14:sizeRelH relativeFrom="margin">
              <wp14:pctWidth>0</wp14:pctWidth>
            </wp14:sizeRelH>
            <wp14:sizeRelV relativeFrom="margin">
              <wp14:pctHeight>0</wp14:pctHeight>
            </wp14:sizeRelV>
          </wp:anchor>
        </w:drawing>
      </w:r>
    </w:p>
    <w:p w14:paraId="30AAA171" w14:textId="77777777" w:rsidR="00C17051" w:rsidRDefault="00C17051" w:rsidP="0007757B">
      <w:pPr>
        <w:spacing w:after="0"/>
      </w:pPr>
    </w:p>
    <w:p w14:paraId="1D0048D1" w14:textId="77777777" w:rsidR="00C17051" w:rsidRPr="0078762A" w:rsidRDefault="00C17051" w:rsidP="0007757B">
      <w:pPr>
        <w:spacing w:after="0"/>
        <w:jc w:val="center"/>
        <w:rPr>
          <w:sz w:val="28"/>
          <w:szCs w:val="28"/>
        </w:rPr>
      </w:pPr>
      <w:r w:rsidRPr="0078762A">
        <w:rPr>
          <w:sz w:val="28"/>
          <w:szCs w:val="28"/>
        </w:rPr>
        <w:t>Disability Rights Maine</w:t>
      </w:r>
    </w:p>
    <w:p w14:paraId="2EF62875" w14:textId="77777777" w:rsidR="00C17051" w:rsidRPr="0078762A" w:rsidRDefault="00C17051" w:rsidP="0007757B">
      <w:pPr>
        <w:spacing w:after="0"/>
        <w:jc w:val="center"/>
        <w:rPr>
          <w:sz w:val="28"/>
          <w:szCs w:val="28"/>
        </w:rPr>
      </w:pPr>
      <w:r w:rsidRPr="0078762A">
        <w:rPr>
          <w:sz w:val="28"/>
          <w:szCs w:val="28"/>
        </w:rPr>
        <w:t>160 Capitol Street, Suite 4</w:t>
      </w:r>
    </w:p>
    <w:p w14:paraId="347AE2A0" w14:textId="77777777" w:rsidR="00C17051" w:rsidRPr="0078762A" w:rsidRDefault="00C17051" w:rsidP="0007757B">
      <w:pPr>
        <w:spacing w:after="0"/>
        <w:jc w:val="center"/>
        <w:rPr>
          <w:sz w:val="28"/>
          <w:szCs w:val="28"/>
        </w:rPr>
      </w:pPr>
      <w:r w:rsidRPr="0078762A">
        <w:rPr>
          <w:sz w:val="28"/>
          <w:szCs w:val="28"/>
        </w:rPr>
        <w:t>Augusta, ME 04330</w:t>
      </w:r>
    </w:p>
    <w:p w14:paraId="6954F0F5" w14:textId="77777777" w:rsidR="00C17051" w:rsidRPr="00261765" w:rsidRDefault="00C17051" w:rsidP="0007757B">
      <w:pPr>
        <w:spacing w:after="0"/>
        <w:jc w:val="center"/>
        <w:rPr>
          <w:rFonts w:cs="Times New Roman"/>
          <w:sz w:val="28"/>
          <w:szCs w:val="28"/>
        </w:rPr>
      </w:pPr>
      <w:r w:rsidRPr="00261765">
        <w:rPr>
          <w:sz w:val="28"/>
          <w:szCs w:val="28"/>
        </w:rPr>
        <w:t xml:space="preserve">800.452.1948 </w:t>
      </w:r>
      <w:r w:rsidRPr="00261765">
        <w:rPr>
          <w:rFonts w:cs="Times New Roman"/>
          <w:sz w:val="28"/>
          <w:szCs w:val="28"/>
        </w:rPr>
        <w:t xml:space="preserve">• </w:t>
      </w:r>
      <w:hyperlink r:id="rId9" w:history="1">
        <w:r w:rsidRPr="00261765">
          <w:rPr>
            <w:rStyle w:val="Hyperlink"/>
            <w:rFonts w:cs="Times New Roman"/>
            <w:sz w:val="28"/>
            <w:szCs w:val="28"/>
          </w:rPr>
          <w:t>advocate@drme.org</w:t>
        </w:r>
      </w:hyperlink>
    </w:p>
    <w:p w14:paraId="7AACE93A" w14:textId="77777777" w:rsidR="00C17051" w:rsidRPr="00261765" w:rsidRDefault="00C17051" w:rsidP="0007757B">
      <w:pPr>
        <w:spacing w:after="0"/>
        <w:jc w:val="center"/>
        <w:rPr>
          <w:sz w:val="28"/>
          <w:szCs w:val="28"/>
        </w:rPr>
      </w:pPr>
    </w:p>
    <w:p w14:paraId="567C4A6F" w14:textId="77777777" w:rsidR="00C17051" w:rsidRPr="0078762A" w:rsidRDefault="00580806" w:rsidP="00580806">
      <w:pPr>
        <w:tabs>
          <w:tab w:val="center" w:pos="4680"/>
          <w:tab w:val="right" w:pos="9360"/>
        </w:tabs>
        <w:spacing w:after="0"/>
        <w:rPr>
          <w:sz w:val="28"/>
          <w:szCs w:val="28"/>
        </w:rPr>
      </w:pPr>
      <w:r w:rsidRPr="00261765">
        <w:rPr>
          <w:sz w:val="28"/>
          <w:szCs w:val="28"/>
        </w:rPr>
        <w:tab/>
      </w:r>
      <w:r w:rsidR="00261765" w:rsidRPr="00261765">
        <w:rPr>
          <w:sz w:val="28"/>
          <w:szCs w:val="28"/>
        </w:rPr>
        <w:t>October</w:t>
      </w:r>
      <w:r w:rsidR="00C17051" w:rsidRPr="00261765">
        <w:rPr>
          <w:sz w:val="28"/>
          <w:szCs w:val="28"/>
        </w:rPr>
        <w:t xml:space="preserve"> 2024</w:t>
      </w:r>
      <w:r w:rsidRPr="00261765">
        <w:rPr>
          <w:sz w:val="28"/>
          <w:szCs w:val="28"/>
        </w:rPr>
        <w:tab/>
      </w:r>
    </w:p>
    <w:p w14:paraId="7940619B" w14:textId="77777777" w:rsidR="00C17051" w:rsidRPr="006B7EDE" w:rsidRDefault="00C17051" w:rsidP="00846811">
      <w:r w:rsidRPr="006B7EDE">
        <w:br w:type="page"/>
      </w:r>
    </w:p>
    <w:p w14:paraId="35ED7CFB" w14:textId="77777777" w:rsidR="00F03FFD" w:rsidRPr="0007757B" w:rsidRDefault="0007757B" w:rsidP="0007757B">
      <w:pPr>
        <w:jc w:val="center"/>
        <w:rPr>
          <w:b/>
          <w:smallCaps/>
          <w:sz w:val="28"/>
          <w:szCs w:val="28"/>
        </w:rPr>
      </w:pPr>
      <w:r>
        <w:rPr>
          <w:b/>
          <w:smallCaps/>
          <w:sz w:val="28"/>
          <w:szCs w:val="28"/>
        </w:rPr>
        <w:lastRenderedPageBreak/>
        <w:t>Table of Contents</w:t>
      </w:r>
    </w:p>
    <w:p w14:paraId="15B7326F" w14:textId="0FDD2667" w:rsidR="00A40703" w:rsidRDefault="00385A31">
      <w:pPr>
        <w:pStyle w:val="TOC1"/>
        <w:rPr>
          <w:rFonts w:asciiTheme="minorHAnsi" w:eastAsiaTheme="minorEastAsia" w:hAnsiTheme="minorHAnsi"/>
          <w:noProof/>
          <w:sz w:val="22"/>
          <w:szCs w:val="22"/>
        </w:rPr>
      </w:pPr>
      <w:r>
        <w:rPr>
          <w:b/>
          <w:smallCaps/>
        </w:rPr>
        <w:fldChar w:fldCharType="begin"/>
      </w:r>
      <w:r>
        <w:rPr>
          <w:b/>
          <w:smallCaps/>
        </w:rPr>
        <w:instrText xml:space="preserve"> TOC \o "1-2" \h \z \u </w:instrText>
      </w:r>
      <w:r>
        <w:rPr>
          <w:b/>
          <w:smallCaps/>
        </w:rPr>
        <w:fldChar w:fldCharType="separate"/>
      </w:r>
      <w:hyperlink w:anchor="_Toc179457403" w:history="1">
        <w:r w:rsidR="00A40703" w:rsidRPr="005237DB">
          <w:rPr>
            <w:rStyle w:val="Hyperlink"/>
            <w:noProof/>
          </w:rPr>
          <w:t>About Disability Rights Maine</w:t>
        </w:r>
        <w:r w:rsidR="00A40703">
          <w:rPr>
            <w:noProof/>
            <w:webHidden/>
          </w:rPr>
          <w:tab/>
        </w:r>
        <w:r w:rsidR="00A40703">
          <w:rPr>
            <w:noProof/>
            <w:webHidden/>
          </w:rPr>
          <w:fldChar w:fldCharType="begin"/>
        </w:r>
        <w:r w:rsidR="00A40703">
          <w:rPr>
            <w:noProof/>
            <w:webHidden/>
          </w:rPr>
          <w:instrText xml:space="preserve"> PAGEREF _Toc179457403 \h </w:instrText>
        </w:r>
        <w:r w:rsidR="00A40703">
          <w:rPr>
            <w:noProof/>
            <w:webHidden/>
          </w:rPr>
        </w:r>
        <w:r w:rsidR="00A40703">
          <w:rPr>
            <w:noProof/>
            <w:webHidden/>
          </w:rPr>
          <w:fldChar w:fldCharType="separate"/>
        </w:r>
        <w:r w:rsidR="00A40703">
          <w:rPr>
            <w:noProof/>
            <w:webHidden/>
          </w:rPr>
          <w:t>3</w:t>
        </w:r>
        <w:r w:rsidR="00A40703">
          <w:rPr>
            <w:noProof/>
            <w:webHidden/>
          </w:rPr>
          <w:fldChar w:fldCharType="end"/>
        </w:r>
      </w:hyperlink>
    </w:p>
    <w:p w14:paraId="30169754" w14:textId="7A35C8A2" w:rsidR="00A40703" w:rsidRDefault="00A40703">
      <w:pPr>
        <w:pStyle w:val="TOC1"/>
        <w:rPr>
          <w:rFonts w:asciiTheme="minorHAnsi" w:eastAsiaTheme="minorEastAsia" w:hAnsiTheme="minorHAnsi"/>
          <w:noProof/>
          <w:sz w:val="22"/>
          <w:szCs w:val="22"/>
        </w:rPr>
      </w:pPr>
      <w:hyperlink w:anchor="_Toc179457404" w:history="1">
        <w:r w:rsidRPr="005237DB">
          <w:rPr>
            <w:rStyle w:val="Hyperlink"/>
            <w:noProof/>
          </w:rPr>
          <w:t>Executive Summary</w:t>
        </w:r>
        <w:r>
          <w:rPr>
            <w:noProof/>
            <w:webHidden/>
          </w:rPr>
          <w:tab/>
        </w:r>
        <w:r>
          <w:rPr>
            <w:noProof/>
            <w:webHidden/>
          </w:rPr>
          <w:fldChar w:fldCharType="begin"/>
        </w:r>
        <w:r>
          <w:rPr>
            <w:noProof/>
            <w:webHidden/>
          </w:rPr>
          <w:instrText xml:space="preserve"> PAGEREF _Toc179457404 \h </w:instrText>
        </w:r>
        <w:r>
          <w:rPr>
            <w:noProof/>
            <w:webHidden/>
          </w:rPr>
        </w:r>
        <w:r>
          <w:rPr>
            <w:noProof/>
            <w:webHidden/>
          </w:rPr>
          <w:fldChar w:fldCharType="separate"/>
        </w:r>
        <w:r>
          <w:rPr>
            <w:noProof/>
            <w:webHidden/>
          </w:rPr>
          <w:t>4</w:t>
        </w:r>
        <w:r>
          <w:rPr>
            <w:noProof/>
            <w:webHidden/>
          </w:rPr>
          <w:fldChar w:fldCharType="end"/>
        </w:r>
      </w:hyperlink>
    </w:p>
    <w:p w14:paraId="6DB84489" w14:textId="4A4C5687" w:rsidR="00A40703" w:rsidRDefault="00A40703">
      <w:pPr>
        <w:pStyle w:val="TOC1"/>
        <w:rPr>
          <w:rFonts w:asciiTheme="minorHAnsi" w:eastAsiaTheme="minorEastAsia" w:hAnsiTheme="minorHAnsi"/>
          <w:noProof/>
          <w:sz w:val="22"/>
          <w:szCs w:val="22"/>
        </w:rPr>
      </w:pPr>
      <w:hyperlink w:anchor="_Toc179457405" w:history="1">
        <w:r w:rsidRPr="005237DB">
          <w:rPr>
            <w:rStyle w:val="Hyperlink"/>
            <w:noProof/>
          </w:rPr>
          <w:t>Introduction</w:t>
        </w:r>
        <w:r>
          <w:rPr>
            <w:noProof/>
            <w:webHidden/>
          </w:rPr>
          <w:tab/>
        </w:r>
        <w:r>
          <w:rPr>
            <w:noProof/>
            <w:webHidden/>
          </w:rPr>
          <w:fldChar w:fldCharType="begin"/>
        </w:r>
        <w:r>
          <w:rPr>
            <w:noProof/>
            <w:webHidden/>
          </w:rPr>
          <w:instrText xml:space="preserve"> PAGEREF _Toc179457405 \h </w:instrText>
        </w:r>
        <w:r>
          <w:rPr>
            <w:noProof/>
            <w:webHidden/>
          </w:rPr>
        </w:r>
        <w:r>
          <w:rPr>
            <w:noProof/>
            <w:webHidden/>
          </w:rPr>
          <w:fldChar w:fldCharType="separate"/>
        </w:r>
        <w:r>
          <w:rPr>
            <w:noProof/>
            <w:webHidden/>
          </w:rPr>
          <w:t>5</w:t>
        </w:r>
        <w:r>
          <w:rPr>
            <w:noProof/>
            <w:webHidden/>
          </w:rPr>
          <w:fldChar w:fldCharType="end"/>
        </w:r>
      </w:hyperlink>
    </w:p>
    <w:p w14:paraId="512A1F80" w14:textId="0E45BE49" w:rsidR="00A40703" w:rsidRDefault="00A40703">
      <w:pPr>
        <w:pStyle w:val="TOC2"/>
        <w:tabs>
          <w:tab w:val="right" w:leader="dot" w:pos="9350"/>
        </w:tabs>
        <w:rPr>
          <w:rFonts w:asciiTheme="minorHAnsi" w:eastAsiaTheme="minorEastAsia" w:hAnsiTheme="minorHAnsi"/>
          <w:noProof/>
          <w:sz w:val="22"/>
          <w:szCs w:val="22"/>
        </w:rPr>
      </w:pPr>
      <w:hyperlink w:anchor="_Toc179457406" w:history="1">
        <w:r w:rsidRPr="005237DB">
          <w:rPr>
            <w:rStyle w:val="Hyperlink"/>
            <w:noProof/>
          </w:rPr>
          <w:t>Decision-making as a Fundamental Right</w:t>
        </w:r>
        <w:r>
          <w:rPr>
            <w:noProof/>
            <w:webHidden/>
          </w:rPr>
          <w:tab/>
        </w:r>
        <w:r>
          <w:rPr>
            <w:noProof/>
            <w:webHidden/>
          </w:rPr>
          <w:fldChar w:fldCharType="begin"/>
        </w:r>
        <w:r>
          <w:rPr>
            <w:noProof/>
            <w:webHidden/>
          </w:rPr>
          <w:instrText xml:space="preserve"> PAGEREF _Toc179457406 \h </w:instrText>
        </w:r>
        <w:r>
          <w:rPr>
            <w:noProof/>
            <w:webHidden/>
          </w:rPr>
        </w:r>
        <w:r>
          <w:rPr>
            <w:noProof/>
            <w:webHidden/>
          </w:rPr>
          <w:fldChar w:fldCharType="separate"/>
        </w:r>
        <w:r>
          <w:rPr>
            <w:noProof/>
            <w:webHidden/>
          </w:rPr>
          <w:t>5</w:t>
        </w:r>
        <w:r>
          <w:rPr>
            <w:noProof/>
            <w:webHidden/>
          </w:rPr>
          <w:fldChar w:fldCharType="end"/>
        </w:r>
      </w:hyperlink>
    </w:p>
    <w:p w14:paraId="58074259" w14:textId="53F9D5C5" w:rsidR="00A40703" w:rsidRDefault="00A40703">
      <w:pPr>
        <w:pStyle w:val="TOC2"/>
        <w:tabs>
          <w:tab w:val="right" w:leader="dot" w:pos="9350"/>
        </w:tabs>
        <w:rPr>
          <w:rFonts w:asciiTheme="minorHAnsi" w:eastAsiaTheme="minorEastAsia" w:hAnsiTheme="minorHAnsi"/>
          <w:noProof/>
          <w:sz w:val="22"/>
          <w:szCs w:val="22"/>
        </w:rPr>
      </w:pPr>
      <w:hyperlink w:anchor="_Toc179457407" w:history="1">
        <w:r w:rsidRPr="005237DB">
          <w:rPr>
            <w:rStyle w:val="Hyperlink"/>
            <w:noProof/>
          </w:rPr>
          <w:t>Adult Guardianship and the Probate Court System</w:t>
        </w:r>
        <w:r>
          <w:rPr>
            <w:noProof/>
            <w:webHidden/>
          </w:rPr>
          <w:tab/>
        </w:r>
        <w:r>
          <w:rPr>
            <w:noProof/>
            <w:webHidden/>
          </w:rPr>
          <w:fldChar w:fldCharType="begin"/>
        </w:r>
        <w:r>
          <w:rPr>
            <w:noProof/>
            <w:webHidden/>
          </w:rPr>
          <w:instrText xml:space="preserve"> PAGEREF _Toc179457407 \h </w:instrText>
        </w:r>
        <w:r>
          <w:rPr>
            <w:noProof/>
            <w:webHidden/>
          </w:rPr>
        </w:r>
        <w:r>
          <w:rPr>
            <w:noProof/>
            <w:webHidden/>
          </w:rPr>
          <w:fldChar w:fldCharType="separate"/>
        </w:r>
        <w:r>
          <w:rPr>
            <w:noProof/>
            <w:webHidden/>
          </w:rPr>
          <w:t>5</w:t>
        </w:r>
        <w:r>
          <w:rPr>
            <w:noProof/>
            <w:webHidden/>
          </w:rPr>
          <w:fldChar w:fldCharType="end"/>
        </w:r>
      </w:hyperlink>
    </w:p>
    <w:p w14:paraId="298929CC" w14:textId="7ABE70B1" w:rsidR="00A40703" w:rsidRDefault="00A40703">
      <w:pPr>
        <w:pStyle w:val="TOC2"/>
        <w:tabs>
          <w:tab w:val="right" w:leader="dot" w:pos="9350"/>
        </w:tabs>
        <w:rPr>
          <w:rFonts w:asciiTheme="minorHAnsi" w:eastAsiaTheme="minorEastAsia" w:hAnsiTheme="minorHAnsi"/>
          <w:noProof/>
          <w:sz w:val="22"/>
          <w:szCs w:val="22"/>
        </w:rPr>
      </w:pPr>
      <w:hyperlink w:anchor="_Toc179457408" w:history="1">
        <w:r w:rsidRPr="005237DB">
          <w:rPr>
            <w:rStyle w:val="Hyperlink"/>
            <w:noProof/>
          </w:rPr>
          <w:t>The Importance of the Attorney</w:t>
        </w:r>
        <w:r>
          <w:rPr>
            <w:noProof/>
            <w:webHidden/>
          </w:rPr>
          <w:tab/>
        </w:r>
        <w:r>
          <w:rPr>
            <w:noProof/>
            <w:webHidden/>
          </w:rPr>
          <w:fldChar w:fldCharType="begin"/>
        </w:r>
        <w:r>
          <w:rPr>
            <w:noProof/>
            <w:webHidden/>
          </w:rPr>
          <w:instrText xml:space="preserve"> PAGEREF _Toc179457408 \h </w:instrText>
        </w:r>
        <w:r>
          <w:rPr>
            <w:noProof/>
            <w:webHidden/>
          </w:rPr>
        </w:r>
        <w:r>
          <w:rPr>
            <w:noProof/>
            <w:webHidden/>
          </w:rPr>
          <w:fldChar w:fldCharType="separate"/>
        </w:r>
        <w:r>
          <w:rPr>
            <w:noProof/>
            <w:webHidden/>
          </w:rPr>
          <w:t>6</w:t>
        </w:r>
        <w:r>
          <w:rPr>
            <w:noProof/>
            <w:webHidden/>
          </w:rPr>
          <w:fldChar w:fldCharType="end"/>
        </w:r>
      </w:hyperlink>
    </w:p>
    <w:p w14:paraId="0E154C4E" w14:textId="73D56214" w:rsidR="00A40703" w:rsidRDefault="00A40703">
      <w:pPr>
        <w:pStyle w:val="TOC2"/>
        <w:tabs>
          <w:tab w:val="right" w:leader="dot" w:pos="9350"/>
        </w:tabs>
        <w:rPr>
          <w:rFonts w:asciiTheme="minorHAnsi" w:eastAsiaTheme="minorEastAsia" w:hAnsiTheme="minorHAnsi"/>
          <w:noProof/>
          <w:sz w:val="22"/>
          <w:szCs w:val="22"/>
        </w:rPr>
      </w:pPr>
      <w:hyperlink w:anchor="_Toc179457409" w:history="1">
        <w:r w:rsidRPr="005237DB">
          <w:rPr>
            <w:rStyle w:val="Hyperlink"/>
            <w:noProof/>
          </w:rPr>
          <w:t>The New Maine Probate Code</w:t>
        </w:r>
        <w:r>
          <w:rPr>
            <w:noProof/>
            <w:webHidden/>
          </w:rPr>
          <w:tab/>
        </w:r>
        <w:r>
          <w:rPr>
            <w:noProof/>
            <w:webHidden/>
          </w:rPr>
          <w:fldChar w:fldCharType="begin"/>
        </w:r>
        <w:r>
          <w:rPr>
            <w:noProof/>
            <w:webHidden/>
          </w:rPr>
          <w:instrText xml:space="preserve"> PAGEREF _Toc179457409 \h </w:instrText>
        </w:r>
        <w:r>
          <w:rPr>
            <w:noProof/>
            <w:webHidden/>
          </w:rPr>
        </w:r>
        <w:r>
          <w:rPr>
            <w:noProof/>
            <w:webHidden/>
          </w:rPr>
          <w:fldChar w:fldCharType="separate"/>
        </w:r>
        <w:r>
          <w:rPr>
            <w:noProof/>
            <w:webHidden/>
          </w:rPr>
          <w:t>7</w:t>
        </w:r>
        <w:r>
          <w:rPr>
            <w:noProof/>
            <w:webHidden/>
          </w:rPr>
          <w:fldChar w:fldCharType="end"/>
        </w:r>
      </w:hyperlink>
    </w:p>
    <w:p w14:paraId="621D13F7" w14:textId="2570223C" w:rsidR="00A40703" w:rsidRDefault="00A40703">
      <w:pPr>
        <w:pStyle w:val="TOC2"/>
        <w:tabs>
          <w:tab w:val="right" w:leader="dot" w:pos="9350"/>
        </w:tabs>
        <w:rPr>
          <w:rFonts w:asciiTheme="minorHAnsi" w:eastAsiaTheme="minorEastAsia" w:hAnsiTheme="minorHAnsi"/>
          <w:noProof/>
          <w:sz w:val="22"/>
          <w:szCs w:val="22"/>
        </w:rPr>
      </w:pPr>
      <w:hyperlink w:anchor="_Toc179457410" w:history="1">
        <w:r w:rsidRPr="005237DB">
          <w:rPr>
            <w:rStyle w:val="Hyperlink"/>
            <w:noProof/>
          </w:rPr>
          <w:t>Lack of Data on Adult Guardianship</w:t>
        </w:r>
        <w:r>
          <w:rPr>
            <w:noProof/>
            <w:webHidden/>
          </w:rPr>
          <w:tab/>
        </w:r>
        <w:r>
          <w:rPr>
            <w:noProof/>
            <w:webHidden/>
          </w:rPr>
          <w:fldChar w:fldCharType="begin"/>
        </w:r>
        <w:r>
          <w:rPr>
            <w:noProof/>
            <w:webHidden/>
          </w:rPr>
          <w:instrText xml:space="preserve"> PAGEREF _Toc179457410 \h </w:instrText>
        </w:r>
        <w:r>
          <w:rPr>
            <w:noProof/>
            <w:webHidden/>
          </w:rPr>
        </w:r>
        <w:r>
          <w:rPr>
            <w:noProof/>
            <w:webHidden/>
          </w:rPr>
          <w:fldChar w:fldCharType="separate"/>
        </w:r>
        <w:r>
          <w:rPr>
            <w:noProof/>
            <w:webHidden/>
          </w:rPr>
          <w:t>8</w:t>
        </w:r>
        <w:r>
          <w:rPr>
            <w:noProof/>
            <w:webHidden/>
          </w:rPr>
          <w:fldChar w:fldCharType="end"/>
        </w:r>
      </w:hyperlink>
    </w:p>
    <w:p w14:paraId="1093DD73" w14:textId="5393A999" w:rsidR="00A40703" w:rsidRDefault="00A40703">
      <w:pPr>
        <w:pStyle w:val="TOC1"/>
        <w:rPr>
          <w:rFonts w:asciiTheme="minorHAnsi" w:eastAsiaTheme="minorEastAsia" w:hAnsiTheme="minorHAnsi"/>
          <w:noProof/>
          <w:sz w:val="22"/>
          <w:szCs w:val="22"/>
        </w:rPr>
      </w:pPr>
      <w:hyperlink w:anchor="_Toc179457411" w:history="1">
        <w:r w:rsidRPr="005237DB">
          <w:rPr>
            <w:rStyle w:val="Hyperlink"/>
            <w:noProof/>
          </w:rPr>
          <w:t>Data Collection Method</w:t>
        </w:r>
        <w:r>
          <w:rPr>
            <w:noProof/>
            <w:webHidden/>
          </w:rPr>
          <w:tab/>
        </w:r>
        <w:r>
          <w:rPr>
            <w:noProof/>
            <w:webHidden/>
          </w:rPr>
          <w:fldChar w:fldCharType="begin"/>
        </w:r>
        <w:r>
          <w:rPr>
            <w:noProof/>
            <w:webHidden/>
          </w:rPr>
          <w:instrText xml:space="preserve"> PAGEREF _Toc179457411 \h </w:instrText>
        </w:r>
        <w:r>
          <w:rPr>
            <w:noProof/>
            <w:webHidden/>
          </w:rPr>
        </w:r>
        <w:r>
          <w:rPr>
            <w:noProof/>
            <w:webHidden/>
          </w:rPr>
          <w:fldChar w:fldCharType="separate"/>
        </w:r>
        <w:r>
          <w:rPr>
            <w:noProof/>
            <w:webHidden/>
          </w:rPr>
          <w:t>10</w:t>
        </w:r>
        <w:r>
          <w:rPr>
            <w:noProof/>
            <w:webHidden/>
          </w:rPr>
          <w:fldChar w:fldCharType="end"/>
        </w:r>
      </w:hyperlink>
    </w:p>
    <w:p w14:paraId="13A33BC7" w14:textId="0F5388BF" w:rsidR="00A40703" w:rsidRDefault="00A40703">
      <w:pPr>
        <w:pStyle w:val="TOC2"/>
        <w:tabs>
          <w:tab w:val="right" w:leader="dot" w:pos="9350"/>
        </w:tabs>
        <w:rPr>
          <w:rFonts w:asciiTheme="minorHAnsi" w:eastAsiaTheme="minorEastAsia" w:hAnsiTheme="minorHAnsi"/>
          <w:noProof/>
          <w:sz w:val="22"/>
          <w:szCs w:val="22"/>
        </w:rPr>
      </w:pPr>
      <w:hyperlink w:anchor="_Toc179457412" w:history="1">
        <w:r w:rsidRPr="005237DB">
          <w:rPr>
            <w:rStyle w:val="Hyperlink"/>
            <w:noProof/>
          </w:rPr>
          <w:t>Significance of Years Studied</w:t>
        </w:r>
        <w:r>
          <w:rPr>
            <w:noProof/>
            <w:webHidden/>
          </w:rPr>
          <w:tab/>
        </w:r>
        <w:r>
          <w:rPr>
            <w:noProof/>
            <w:webHidden/>
          </w:rPr>
          <w:fldChar w:fldCharType="begin"/>
        </w:r>
        <w:r>
          <w:rPr>
            <w:noProof/>
            <w:webHidden/>
          </w:rPr>
          <w:instrText xml:space="preserve"> PAGEREF _Toc179457412 \h </w:instrText>
        </w:r>
        <w:r>
          <w:rPr>
            <w:noProof/>
            <w:webHidden/>
          </w:rPr>
        </w:r>
        <w:r>
          <w:rPr>
            <w:noProof/>
            <w:webHidden/>
          </w:rPr>
          <w:fldChar w:fldCharType="separate"/>
        </w:r>
        <w:r>
          <w:rPr>
            <w:noProof/>
            <w:webHidden/>
          </w:rPr>
          <w:t>11</w:t>
        </w:r>
        <w:r>
          <w:rPr>
            <w:noProof/>
            <w:webHidden/>
          </w:rPr>
          <w:fldChar w:fldCharType="end"/>
        </w:r>
      </w:hyperlink>
    </w:p>
    <w:p w14:paraId="78390134" w14:textId="73AC14A7" w:rsidR="00A40703" w:rsidRDefault="00A40703">
      <w:pPr>
        <w:pStyle w:val="TOC2"/>
        <w:tabs>
          <w:tab w:val="right" w:leader="dot" w:pos="9350"/>
        </w:tabs>
        <w:rPr>
          <w:rFonts w:asciiTheme="minorHAnsi" w:eastAsiaTheme="minorEastAsia" w:hAnsiTheme="minorHAnsi"/>
          <w:noProof/>
          <w:sz w:val="22"/>
          <w:szCs w:val="22"/>
        </w:rPr>
      </w:pPr>
      <w:hyperlink w:anchor="_Toc179457413" w:history="1">
        <w:r w:rsidRPr="005237DB">
          <w:rPr>
            <w:rStyle w:val="Hyperlink"/>
            <w:noProof/>
          </w:rPr>
          <w:t>Focus on Individuals with Developmental Disabilities</w:t>
        </w:r>
        <w:r>
          <w:rPr>
            <w:noProof/>
            <w:webHidden/>
          </w:rPr>
          <w:tab/>
        </w:r>
        <w:r>
          <w:rPr>
            <w:noProof/>
            <w:webHidden/>
          </w:rPr>
          <w:fldChar w:fldCharType="begin"/>
        </w:r>
        <w:r>
          <w:rPr>
            <w:noProof/>
            <w:webHidden/>
          </w:rPr>
          <w:instrText xml:space="preserve"> PAGEREF _Toc179457413 \h </w:instrText>
        </w:r>
        <w:r>
          <w:rPr>
            <w:noProof/>
            <w:webHidden/>
          </w:rPr>
        </w:r>
        <w:r>
          <w:rPr>
            <w:noProof/>
            <w:webHidden/>
          </w:rPr>
          <w:fldChar w:fldCharType="separate"/>
        </w:r>
        <w:r>
          <w:rPr>
            <w:noProof/>
            <w:webHidden/>
          </w:rPr>
          <w:t>11</w:t>
        </w:r>
        <w:r>
          <w:rPr>
            <w:noProof/>
            <w:webHidden/>
          </w:rPr>
          <w:fldChar w:fldCharType="end"/>
        </w:r>
      </w:hyperlink>
    </w:p>
    <w:p w14:paraId="3DF025C5" w14:textId="27040939" w:rsidR="00A40703" w:rsidRDefault="00A40703">
      <w:pPr>
        <w:pStyle w:val="TOC1"/>
        <w:rPr>
          <w:rFonts w:asciiTheme="minorHAnsi" w:eastAsiaTheme="minorEastAsia" w:hAnsiTheme="minorHAnsi"/>
          <w:noProof/>
          <w:sz w:val="22"/>
          <w:szCs w:val="22"/>
        </w:rPr>
      </w:pPr>
      <w:hyperlink w:anchor="_Toc179457414" w:history="1">
        <w:r w:rsidRPr="005237DB">
          <w:rPr>
            <w:rStyle w:val="Hyperlink"/>
            <w:noProof/>
          </w:rPr>
          <w:t>Key Findings</w:t>
        </w:r>
        <w:r>
          <w:rPr>
            <w:noProof/>
            <w:webHidden/>
          </w:rPr>
          <w:tab/>
        </w:r>
        <w:r>
          <w:rPr>
            <w:noProof/>
            <w:webHidden/>
          </w:rPr>
          <w:fldChar w:fldCharType="begin"/>
        </w:r>
        <w:r>
          <w:rPr>
            <w:noProof/>
            <w:webHidden/>
          </w:rPr>
          <w:instrText xml:space="preserve"> PAGEREF _Toc179457414 \h </w:instrText>
        </w:r>
        <w:r>
          <w:rPr>
            <w:noProof/>
            <w:webHidden/>
          </w:rPr>
        </w:r>
        <w:r>
          <w:rPr>
            <w:noProof/>
            <w:webHidden/>
          </w:rPr>
          <w:fldChar w:fldCharType="separate"/>
        </w:r>
        <w:r>
          <w:rPr>
            <w:noProof/>
            <w:webHidden/>
          </w:rPr>
          <w:t>12</w:t>
        </w:r>
        <w:r>
          <w:rPr>
            <w:noProof/>
            <w:webHidden/>
          </w:rPr>
          <w:fldChar w:fldCharType="end"/>
        </w:r>
      </w:hyperlink>
    </w:p>
    <w:p w14:paraId="40E5D666" w14:textId="0157C043" w:rsidR="00A40703" w:rsidRDefault="00A40703">
      <w:pPr>
        <w:pStyle w:val="TOC2"/>
        <w:tabs>
          <w:tab w:val="right" w:leader="dot" w:pos="9350"/>
        </w:tabs>
        <w:rPr>
          <w:rFonts w:asciiTheme="minorHAnsi" w:eastAsiaTheme="minorEastAsia" w:hAnsiTheme="minorHAnsi"/>
          <w:noProof/>
          <w:sz w:val="22"/>
          <w:szCs w:val="22"/>
        </w:rPr>
      </w:pPr>
      <w:hyperlink w:anchor="_Toc179457415" w:history="1">
        <w:r w:rsidRPr="005237DB">
          <w:rPr>
            <w:rStyle w:val="Hyperlink"/>
            <w:noProof/>
          </w:rPr>
          <w:t>Representation by Attorneys</w:t>
        </w:r>
        <w:r>
          <w:rPr>
            <w:noProof/>
            <w:webHidden/>
          </w:rPr>
          <w:tab/>
        </w:r>
        <w:r>
          <w:rPr>
            <w:noProof/>
            <w:webHidden/>
          </w:rPr>
          <w:fldChar w:fldCharType="begin"/>
        </w:r>
        <w:r>
          <w:rPr>
            <w:noProof/>
            <w:webHidden/>
          </w:rPr>
          <w:instrText xml:space="preserve"> PAGEREF _Toc179457415 \h </w:instrText>
        </w:r>
        <w:r>
          <w:rPr>
            <w:noProof/>
            <w:webHidden/>
          </w:rPr>
        </w:r>
        <w:r>
          <w:rPr>
            <w:noProof/>
            <w:webHidden/>
          </w:rPr>
          <w:fldChar w:fldCharType="separate"/>
        </w:r>
        <w:r>
          <w:rPr>
            <w:noProof/>
            <w:webHidden/>
          </w:rPr>
          <w:t>12</w:t>
        </w:r>
        <w:r>
          <w:rPr>
            <w:noProof/>
            <w:webHidden/>
          </w:rPr>
          <w:fldChar w:fldCharType="end"/>
        </w:r>
      </w:hyperlink>
    </w:p>
    <w:p w14:paraId="4C5EED1B" w14:textId="4A979E0C" w:rsidR="00A40703" w:rsidRDefault="00A40703">
      <w:pPr>
        <w:pStyle w:val="TOC2"/>
        <w:tabs>
          <w:tab w:val="right" w:leader="dot" w:pos="9350"/>
        </w:tabs>
        <w:rPr>
          <w:rFonts w:asciiTheme="minorHAnsi" w:eastAsiaTheme="minorEastAsia" w:hAnsiTheme="minorHAnsi"/>
          <w:noProof/>
          <w:sz w:val="22"/>
          <w:szCs w:val="22"/>
        </w:rPr>
      </w:pPr>
      <w:hyperlink w:anchor="_Toc179457416" w:history="1">
        <w:r w:rsidRPr="005237DB">
          <w:rPr>
            <w:rStyle w:val="Hyperlink"/>
            <w:noProof/>
          </w:rPr>
          <w:t>Rate of Appointment of Guardian</w:t>
        </w:r>
        <w:r>
          <w:rPr>
            <w:noProof/>
            <w:webHidden/>
          </w:rPr>
          <w:tab/>
        </w:r>
        <w:r>
          <w:rPr>
            <w:noProof/>
            <w:webHidden/>
          </w:rPr>
          <w:fldChar w:fldCharType="begin"/>
        </w:r>
        <w:r>
          <w:rPr>
            <w:noProof/>
            <w:webHidden/>
          </w:rPr>
          <w:instrText xml:space="preserve"> PAGEREF _Toc179457416 \h </w:instrText>
        </w:r>
        <w:r>
          <w:rPr>
            <w:noProof/>
            <w:webHidden/>
          </w:rPr>
        </w:r>
        <w:r>
          <w:rPr>
            <w:noProof/>
            <w:webHidden/>
          </w:rPr>
          <w:fldChar w:fldCharType="separate"/>
        </w:r>
        <w:r>
          <w:rPr>
            <w:noProof/>
            <w:webHidden/>
          </w:rPr>
          <w:t>14</w:t>
        </w:r>
        <w:r>
          <w:rPr>
            <w:noProof/>
            <w:webHidden/>
          </w:rPr>
          <w:fldChar w:fldCharType="end"/>
        </w:r>
      </w:hyperlink>
    </w:p>
    <w:p w14:paraId="70BB0DC8" w14:textId="6427EDBA" w:rsidR="00A40703" w:rsidRDefault="00A40703">
      <w:pPr>
        <w:pStyle w:val="TOC2"/>
        <w:tabs>
          <w:tab w:val="right" w:leader="dot" w:pos="9350"/>
        </w:tabs>
        <w:rPr>
          <w:rFonts w:asciiTheme="minorHAnsi" w:eastAsiaTheme="minorEastAsia" w:hAnsiTheme="minorHAnsi"/>
          <w:noProof/>
          <w:sz w:val="22"/>
          <w:szCs w:val="22"/>
        </w:rPr>
      </w:pPr>
      <w:hyperlink w:anchor="_Toc179457417" w:history="1">
        <w:r w:rsidRPr="005237DB">
          <w:rPr>
            <w:rStyle w:val="Hyperlink"/>
            <w:noProof/>
          </w:rPr>
          <w:t>Correlation Between Appointment of Guardian and Attorney for Respondent</w:t>
        </w:r>
        <w:r>
          <w:rPr>
            <w:noProof/>
            <w:webHidden/>
          </w:rPr>
          <w:tab/>
        </w:r>
        <w:r>
          <w:rPr>
            <w:noProof/>
            <w:webHidden/>
          </w:rPr>
          <w:fldChar w:fldCharType="begin"/>
        </w:r>
        <w:r>
          <w:rPr>
            <w:noProof/>
            <w:webHidden/>
          </w:rPr>
          <w:instrText xml:space="preserve"> PAGEREF _Toc179457417 \h </w:instrText>
        </w:r>
        <w:r>
          <w:rPr>
            <w:noProof/>
            <w:webHidden/>
          </w:rPr>
        </w:r>
        <w:r>
          <w:rPr>
            <w:noProof/>
            <w:webHidden/>
          </w:rPr>
          <w:fldChar w:fldCharType="separate"/>
        </w:r>
        <w:r>
          <w:rPr>
            <w:noProof/>
            <w:webHidden/>
          </w:rPr>
          <w:t>17</w:t>
        </w:r>
        <w:r>
          <w:rPr>
            <w:noProof/>
            <w:webHidden/>
          </w:rPr>
          <w:fldChar w:fldCharType="end"/>
        </w:r>
      </w:hyperlink>
    </w:p>
    <w:p w14:paraId="530C9DDA" w14:textId="41EE8021" w:rsidR="00A40703" w:rsidRDefault="00A40703">
      <w:pPr>
        <w:pStyle w:val="TOC2"/>
        <w:tabs>
          <w:tab w:val="right" w:leader="dot" w:pos="9350"/>
        </w:tabs>
        <w:rPr>
          <w:rFonts w:asciiTheme="minorHAnsi" w:eastAsiaTheme="minorEastAsia" w:hAnsiTheme="minorHAnsi"/>
          <w:noProof/>
          <w:sz w:val="22"/>
          <w:szCs w:val="22"/>
        </w:rPr>
      </w:pPr>
      <w:hyperlink w:anchor="_Toc179457418" w:history="1">
        <w:r w:rsidRPr="005237DB">
          <w:rPr>
            <w:rStyle w:val="Hyperlink"/>
            <w:noProof/>
          </w:rPr>
          <w:t>Comparison Across Years 2019-2021</w:t>
        </w:r>
        <w:r>
          <w:rPr>
            <w:noProof/>
            <w:webHidden/>
          </w:rPr>
          <w:tab/>
        </w:r>
        <w:r>
          <w:rPr>
            <w:noProof/>
            <w:webHidden/>
          </w:rPr>
          <w:fldChar w:fldCharType="begin"/>
        </w:r>
        <w:r>
          <w:rPr>
            <w:noProof/>
            <w:webHidden/>
          </w:rPr>
          <w:instrText xml:space="preserve"> PAGEREF _Toc179457418 \h </w:instrText>
        </w:r>
        <w:r>
          <w:rPr>
            <w:noProof/>
            <w:webHidden/>
          </w:rPr>
        </w:r>
        <w:r>
          <w:rPr>
            <w:noProof/>
            <w:webHidden/>
          </w:rPr>
          <w:fldChar w:fldCharType="separate"/>
        </w:r>
        <w:r>
          <w:rPr>
            <w:noProof/>
            <w:webHidden/>
          </w:rPr>
          <w:t>19</w:t>
        </w:r>
        <w:r>
          <w:rPr>
            <w:noProof/>
            <w:webHidden/>
          </w:rPr>
          <w:fldChar w:fldCharType="end"/>
        </w:r>
      </w:hyperlink>
    </w:p>
    <w:p w14:paraId="26109920" w14:textId="67EA6396" w:rsidR="00A40703" w:rsidRDefault="00A40703">
      <w:pPr>
        <w:pStyle w:val="TOC2"/>
        <w:tabs>
          <w:tab w:val="right" w:leader="dot" w:pos="9350"/>
        </w:tabs>
        <w:rPr>
          <w:rFonts w:asciiTheme="minorHAnsi" w:eastAsiaTheme="minorEastAsia" w:hAnsiTheme="minorHAnsi"/>
          <w:noProof/>
          <w:sz w:val="22"/>
          <w:szCs w:val="22"/>
        </w:rPr>
      </w:pPr>
      <w:hyperlink w:anchor="_Toc179457419" w:history="1">
        <w:r w:rsidRPr="005237DB">
          <w:rPr>
            <w:rStyle w:val="Hyperlink"/>
            <w:noProof/>
          </w:rPr>
          <w:t>Distribution by Age of Respondent</w:t>
        </w:r>
        <w:r>
          <w:rPr>
            <w:noProof/>
            <w:webHidden/>
          </w:rPr>
          <w:tab/>
        </w:r>
        <w:r>
          <w:rPr>
            <w:noProof/>
            <w:webHidden/>
          </w:rPr>
          <w:fldChar w:fldCharType="begin"/>
        </w:r>
        <w:r>
          <w:rPr>
            <w:noProof/>
            <w:webHidden/>
          </w:rPr>
          <w:instrText xml:space="preserve"> PAGEREF _Toc179457419 \h </w:instrText>
        </w:r>
        <w:r>
          <w:rPr>
            <w:noProof/>
            <w:webHidden/>
          </w:rPr>
        </w:r>
        <w:r>
          <w:rPr>
            <w:noProof/>
            <w:webHidden/>
          </w:rPr>
          <w:fldChar w:fldCharType="separate"/>
        </w:r>
        <w:r>
          <w:rPr>
            <w:noProof/>
            <w:webHidden/>
          </w:rPr>
          <w:t>20</w:t>
        </w:r>
        <w:r>
          <w:rPr>
            <w:noProof/>
            <w:webHidden/>
          </w:rPr>
          <w:fldChar w:fldCharType="end"/>
        </w:r>
      </w:hyperlink>
    </w:p>
    <w:p w14:paraId="65CF2DCD" w14:textId="1317A15F" w:rsidR="00A40703" w:rsidRDefault="00A40703">
      <w:pPr>
        <w:pStyle w:val="TOC1"/>
        <w:rPr>
          <w:rFonts w:asciiTheme="minorHAnsi" w:eastAsiaTheme="minorEastAsia" w:hAnsiTheme="minorHAnsi"/>
          <w:noProof/>
          <w:sz w:val="22"/>
          <w:szCs w:val="22"/>
        </w:rPr>
      </w:pPr>
      <w:hyperlink w:anchor="_Toc179457420" w:history="1">
        <w:r w:rsidRPr="005237DB">
          <w:rPr>
            <w:rStyle w:val="Hyperlink"/>
            <w:noProof/>
          </w:rPr>
          <w:t>Conclusions</w:t>
        </w:r>
        <w:r>
          <w:rPr>
            <w:noProof/>
            <w:webHidden/>
          </w:rPr>
          <w:tab/>
        </w:r>
        <w:r>
          <w:rPr>
            <w:noProof/>
            <w:webHidden/>
          </w:rPr>
          <w:fldChar w:fldCharType="begin"/>
        </w:r>
        <w:r>
          <w:rPr>
            <w:noProof/>
            <w:webHidden/>
          </w:rPr>
          <w:instrText xml:space="preserve"> PAGEREF _Toc179457420 \h </w:instrText>
        </w:r>
        <w:r>
          <w:rPr>
            <w:noProof/>
            <w:webHidden/>
          </w:rPr>
        </w:r>
        <w:r>
          <w:rPr>
            <w:noProof/>
            <w:webHidden/>
          </w:rPr>
          <w:fldChar w:fldCharType="separate"/>
        </w:r>
        <w:r>
          <w:rPr>
            <w:noProof/>
            <w:webHidden/>
          </w:rPr>
          <w:t>22</w:t>
        </w:r>
        <w:r>
          <w:rPr>
            <w:noProof/>
            <w:webHidden/>
          </w:rPr>
          <w:fldChar w:fldCharType="end"/>
        </w:r>
      </w:hyperlink>
    </w:p>
    <w:p w14:paraId="581CEEC2" w14:textId="2B1A9D2B" w:rsidR="00A40703" w:rsidRDefault="00A40703">
      <w:pPr>
        <w:pStyle w:val="TOC1"/>
        <w:rPr>
          <w:rFonts w:asciiTheme="minorHAnsi" w:eastAsiaTheme="minorEastAsia" w:hAnsiTheme="minorHAnsi"/>
          <w:noProof/>
          <w:sz w:val="22"/>
          <w:szCs w:val="22"/>
        </w:rPr>
      </w:pPr>
      <w:hyperlink w:anchor="_Toc179457421" w:history="1">
        <w:r w:rsidRPr="005237DB">
          <w:rPr>
            <w:rStyle w:val="Hyperlink"/>
            <w:noProof/>
          </w:rPr>
          <w:t>Appendix</w:t>
        </w:r>
        <w:r>
          <w:rPr>
            <w:noProof/>
            <w:webHidden/>
          </w:rPr>
          <w:tab/>
        </w:r>
        <w:r>
          <w:rPr>
            <w:noProof/>
            <w:webHidden/>
          </w:rPr>
          <w:fldChar w:fldCharType="begin"/>
        </w:r>
        <w:r>
          <w:rPr>
            <w:noProof/>
            <w:webHidden/>
          </w:rPr>
          <w:instrText xml:space="preserve"> PAGEREF _Toc179457421 \h </w:instrText>
        </w:r>
        <w:r>
          <w:rPr>
            <w:noProof/>
            <w:webHidden/>
          </w:rPr>
        </w:r>
        <w:r>
          <w:rPr>
            <w:noProof/>
            <w:webHidden/>
          </w:rPr>
          <w:fldChar w:fldCharType="separate"/>
        </w:r>
        <w:r>
          <w:rPr>
            <w:noProof/>
            <w:webHidden/>
          </w:rPr>
          <w:t>26</w:t>
        </w:r>
        <w:r>
          <w:rPr>
            <w:noProof/>
            <w:webHidden/>
          </w:rPr>
          <w:fldChar w:fldCharType="end"/>
        </w:r>
      </w:hyperlink>
    </w:p>
    <w:p w14:paraId="690067C8" w14:textId="1F9BB4DF" w:rsidR="00A40703" w:rsidRDefault="00A40703">
      <w:pPr>
        <w:pStyle w:val="TOC2"/>
        <w:tabs>
          <w:tab w:val="right" w:leader="dot" w:pos="9350"/>
        </w:tabs>
        <w:rPr>
          <w:rFonts w:asciiTheme="minorHAnsi" w:eastAsiaTheme="minorEastAsia" w:hAnsiTheme="minorHAnsi"/>
          <w:noProof/>
          <w:sz w:val="22"/>
          <w:szCs w:val="22"/>
        </w:rPr>
      </w:pPr>
      <w:hyperlink w:anchor="_Toc179457422" w:history="1">
        <w:r w:rsidRPr="005237DB">
          <w:rPr>
            <w:rStyle w:val="Hyperlink"/>
            <w:noProof/>
          </w:rPr>
          <w:t>Number of Petitions Filed Per County</w:t>
        </w:r>
        <w:r>
          <w:rPr>
            <w:noProof/>
            <w:webHidden/>
          </w:rPr>
          <w:tab/>
        </w:r>
        <w:r>
          <w:rPr>
            <w:noProof/>
            <w:webHidden/>
          </w:rPr>
          <w:fldChar w:fldCharType="begin"/>
        </w:r>
        <w:r>
          <w:rPr>
            <w:noProof/>
            <w:webHidden/>
          </w:rPr>
          <w:instrText xml:space="preserve"> PAGEREF _Toc179457422 \h </w:instrText>
        </w:r>
        <w:r>
          <w:rPr>
            <w:noProof/>
            <w:webHidden/>
          </w:rPr>
        </w:r>
        <w:r>
          <w:rPr>
            <w:noProof/>
            <w:webHidden/>
          </w:rPr>
          <w:fldChar w:fldCharType="separate"/>
        </w:r>
        <w:r>
          <w:rPr>
            <w:noProof/>
            <w:webHidden/>
          </w:rPr>
          <w:t>26</w:t>
        </w:r>
        <w:r>
          <w:rPr>
            <w:noProof/>
            <w:webHidden/>
          </w:rPr>
          <w:fldChar w:fldCharType="end"/>
        </w:r>
      </w:hyperlink>
    </w:p>
    <w:p w14:paraId="4F9A65A8" w14:textId="27B9FE18" w:rsidR="00A40703" w:rsidRDefault="00A40703">
      <w:pPr>
        <w:pStyle w:val="TOC2"/>
        <w:tabs>
          <w:tab w:val="right" w:leader="dot" w:pos="9350"/>
        </w:tabs>
        <w:rPr>
          <w:rFonts w:asciiTheme="minorHAnsi" w:eastAsiaTheme="minorEastAsia" w:hAnsiTheme="minorHAnsi"/>
          <w:noProof/>
          <w:sz w:val="22"/>
          <w:szCs w:val="22"/>
        </w:rPr>
      </w:pPr>
      <w:hyperlink w:anchor="_Toc179457423" w:history="1">
        <w:r w:rsidRPr="005237DB">
          <w:rPr>
            <w:rStyle w:val="Hyperlink"/>
            <w:noProof/>
          </w:rPr>
          <w:t>Percentage of Represented Respondents by County</w:t>
        </w:r>
        <w:r>
          <w:rPr>
            <w:noProof/>
            <w:webHidden/>
          </w:rPr>
          <w:tab/>
        </w:r>
        <w:r>
          <w:rPr>
            <w:noProof/>
            <w:webHidden/>
          </w:rPr>
          <w:fldChar w:fldCharType="begin"/>
        </w:r>
        <w:r>
          <w:rPr>
            <w:noProof/>
            <w:webHidden/>
          </w:rPr>
          <w:instrText xml:space="preserve"> PAGEREF _Toc179457423 \h </w:instrText>
        </w:r>
        <w:r>
          <w:rPr>
            <w:noProof/>
            <w:webHidden/>
          </w:rPr>
        </w:r>
        <w:r>
          <w:rPr>
            <w:noProof/>
            <w:webHidden/>
          </w:rPr>
          <w:fldChar w:fldCharType="separate"/>
        </w:r>
        <w:r>
          <w:rPr>
            <w:noProof/>
            <w:webHidden/>
          </w:rPr>
          <w:t>26</w:t>
        </w:r>
        <w:r>
          <w:rPr>
            <w:noProof/>
            <w:webHidden/>
          </w:rPr>
          <w:fldChar w:fldCharType="end"/>
        </w:r>
      </w:hyperlink>
    </w:p>
    <w:p w14:paraId="713ABD7D" w14:textId="417E2AF5" w:rsidR="00A40703" w:rsidRDefault="00A40703">
      <w:pPr>
        <w:pStyle w:val="TOC2"/>
        <w:tabs>
          <w:tab w:val="right" w:leader="dot" w:pos="9350"/>
        </w:tabs>
        <w:rPr>
          <w:rFonts w:asciiTheme="minorHAnsi" w:eastAsiaTheme="minorEastAsia" w:hAnsiTheme="minorHAnsi"/>
          <w:noProof/>
          <w:sz w:val="22"/>
          <w:szCs w:val="22"/>
        </w:rPr>
      </w:pPr>
      <w:hyperlink w:anchor="_Toc179457424" w:history="1">
        <w:r w:rsidRPr="005237DB">
          <w:rPr>
            <w:rStyle w:val="Hyperlink"/>
            <w:noProof/>
          </w:rPr>
          <w:t>Guardianship Petitions that Resulted in Guardianships by County</w:t>
        </w:r>
        <w:r>
          <w:rPr>
            <w:noProof/>
            <w:webHidden/>
          </w:rPr>
          <w:tab/>
        </w:r>
        <w:r>
          <w:rPr>
            <w:noProof/>
            <w:webHidden/>
          </w:rPr>
          <w:fldChar w:fldCharType="begin"/>
        </w:r>
        <w:r>
          <w:rPr>
            <w:noProof/>
            <w:webHidden/>
          </w:rPr>
          <w:instrText xml:space="preserve"> PAGEREF _Toc179457424 \h </w:instrText>
        </w:r>
        <w:r>
          <w:rPr>
            <w:noProof/>
            <w:webHidden/>
          </w:rPr>
        </w:r>
        <w:r>
          <w:rPr>
            <w:noProof/>
            <w:webHidden/>
          </w:rPr>
          <w:fldChar w:fldCharType="separate"/>
        </w:r>
        <w:r>
          <w:rPr>
            <w:noProof/>
            <w:webHidden/>
          </w:rPr>
          <w:t>28</w:t>
        </w:r>
        <w:r>
          <w:rPr>
            <w:noProof/>
            <w:webHidden/>
          </w:rPr>
          <w:fldChar w:fldCharType="end"/>
        </w:r>
      </w:hyperlink>
    </w:p>
    <w:p w14:paraId="6B4B03BD" w14:textId="5F853E63" w:rsidR="00580806" w:rsidRDefault="00385A31" w:rsidP="001B546C">
      <w:pPr>
        <w:pStyle w:val="Heading1"/>
        <w:sectPr w:rsidR="00580806" w:rsidSect="00580806">
          <w:headerReference w:type="default" r:id="rId10"/>
          <w:pgSz w:w="12240" w:h="15840"/>
          <w:pgMar w:top="1440" w:right="1440" w:bottom="1440" w:left="1440" w:header="720" w:footer="720" w:gutter="0"/>
          <w:cols w:space="720"/>
          <w:docGrid w:linePitch="360"/>
        </w:sectPr>
      </w:pPr>
      <w:r>
        <w:rPr>
          <w:b w:val="0"/>
          <w:smallCaps w:val="0"/>
          <w:spacing w:val="0"/>
          <w:sz w:val="24"/>
          <w:szCs w:val="24"/>
        </w:rPr>
        <w:fldChar w:fldCharType="end"/>
      </w:r>
    </w:p>
    <w:p w14:paraId="37DB68B4" w14:textId="77777777" w:rsidR="0007757B" w:rsidRPr="001B546C" w:rsidRDefault="0007757B" w:rsidP="001B546C">
      <w:pPr>
        <w:pStyle w:val="Heading1"/>
      </w:pPr>
      <w:bookmarkStart w:id="1" w:name="_Toc179457403"/>
      <w:r w:rsidRPr="001B546C">
        <w:lastRenderedPageBreak/>
        <w:t>About Disability Rights Maine</w:t>
      </w:r>
      <w:bookmarkEnd w:id="1"/>
    </w:p>
    <w:p w14:paraId="774C86FF" w14:textId="77777777" w:rsidR="007B7103" w:rsidRDefault="003A435B" w:rsidP="003A6E55">
      <w:r>
        <w:t>Disability Rights Maine (DRM) is Maine</w:t>
      </w:r>
      <w:r w:rsidR="004436C0">
        <w:t>’</w:t>
      </w:r>
      <w:r>
        <w:t xml:space="preserve">s designated Protection and Advocacy (P&amp;A) agency, a 501(c)3 nonprofit organization authorized and mandated to protect and advocate for the rights of Maine people with disabilities. </w:t>
      </w:r>
      <w:r w:rsidR="004436C0">
        <w:t xml:space="preserve"> </w:t>
      </w:r>
      <w:r>
        <w:t>DRM</w:t>
      </w:r>
      <w:r w:rsidR="004436C0">
        <w:t>’</w:t>
      </w:r>
      <w:r>
        <w:t>s mission is to advance justice and equality by enforcing rights and expanding opportunities for people with disabilities in Maine.</w:t>
      </w:r>
    </w:p>
    <w:p w14:paraId="4DE3DB06" w14:textId="77777777" w:rsidR="003A435B" w:rsidRDefault="007B7103" w:rsidP="003A6E55">
      <w:r>
        <w:t xml:space="preserve">DRM represents individuals whose rights have been violated or </w:t>
      </w:r>
      <w:r w:rsidR="004436C0">
        <w:t xml:space="preserve">who </w:t>
      </w:r>
      <w:r>
        <w:t xml:space="preserve">have faced discrimination based on their disability. </w:t>
      </w:r>
      <w:r w:rsidR="004436C0">
        <w:t xml:space="preserve"> </w:t>
      </w:r>
      <w:r>
        <w:t>Additionally, DRM offers training on rights and self-advocacy</w:t>
      </w:r>
      <w:r w:rsidR="004436C0">
        <w:t>,</w:t>
      </w:r>
      <w:r>
        <w:t xml:space="preserve"> while actively advocating for reform in public policies.</w:t>
      </w:r>
    </w:p>
    <w:p w14:paraId="39564EB8" w14:textId="77777777" w:rsidR="003A435B" w:rsidRPr="002878A2" w:rsidRDefault="003A435B" w:rsidP="003A6E55">
      <w:r>
        <w:t>DRM believes that people with disabilities must:</w:t>
      </w:r>
    </w:p>
    <w:p w14:paraId="3F16C502" w14:textId="77777777" w:rsidR="00493E11" w:rsidRDefault="002105A1" w:rsidP="002105A1">
      <w:pPr>
        <w:pStyle w:val="ListParagraph"/>
        <w:numPr>
          <w:ilvl w:val="0"/>
          <w:numId w:val="1"/>
        </w:numPr>
      </w:pPr>
      <w:r>
        <w:t>Be treated with respect and be free from abuse;</w:t>
      </w:r>
    </w:p>
    <w:p w14:paraId="6790A13C" w14:textId="77777777" w:rsidR="00493E11" w:rsidRDefault="002105A1" w:rsidP="002105A1">
      <w:pPr>
        <w:pStyle w:val="ListParagraph"/>
        <w:numPr>
          <w:ilvl w:val="0"/>
          <w:numId w:val="1"/>
        </w:numPr>
      </w:pPr>
      <w:r>
        <w:t>Control the decisions that affect their lives;</w:t>
      </w:r>
    </w:p>
    <w:p w14:paraId="32866DE3" w14:textId="77777777" w:rsidR="00493E11" w:rsidRDefault="002105A1" w:rsidP="002105A1">
      <w:pPr>
        <w:pStyle w:val="ListParagraph"/>
        <w:numPr>
          <w:ilvl w:val="0"/>
          <w:numId w:val="1"/>
        </w:numPr>
      </w:pPr>
      <w:r>
        <w:t>Receive the services and supports necessary to live independently;</w:t>
      </w:r>
    </w:p>
    <w:p w14:paraId="6A32774D" w14:textId="77777777" w:rsidR="00493E11" w:rsidRDefault="002105A1" w:rsidP="002105A1">
      <w:pPr>
        <w:pStyle w:val="ListParagraph"/>
        <w:numPr>
          <w:ilvl w:val="0"/>
          <w:numId w:val="1"/>
        </w:numPr>
      </w:pPr>
      <w:r>
        <w:t>Have the opportunity to work and contribute to society;</w:t>
      </w:r>
    </w:p>
    <w:p w14:paraId="2D17BD02" w14:textId="77777777" w:rsidR="00493E11" w:rsidRDefault="002105A1" w:rsidP="002105A1">
      <w:pPr>
        <w:pStyle w:val="ListParagraph"/>
        <w:numPr>
          <w:ilvl w:val="0"/>
          <w:numId w:val="1"/>
        </w:numPr>
      </w:pPr>
      <w:r>
        <w:t>Have equal access to the same opportunities afforded all other members of society; and</w:t>
      </w:r>
    </w:p>
    <w:p w14:paraId="02BACF1F" w14:textId="77777777" w:rsidR="003A435B" w:rsidRDefault="002105A1" w:rsidP="003A6E55">
      <w:pPr>
        <w:pStyle w:val="ListParagraph"/>
        <w:numPr>
          <w:ilvl w:val="0"/>
          <w:numId w:val="1"/>
        </w:numPr>
      </w:pPr>
      <w:r>
        <w:t>Fully participate in all aspects of society</w:t>
      </w:r>
      <w:r w:rsidR="000D5DD9">
        <w:t>, including</w:t>
      </w:r>
      <w:r>
        <w:t xml:space="preserve"> education, work, and community.</w:t>
      </w:r>
    </w:p>
    <w:p w14:paraId="06561C3F" w14:textId="312BD37F" w:rsidR="00657CB1" w:rsidRPr="007059E8" w:rsidRDefault="007B7103" w:rsidP="007059E8">
      <w:r>
        <w:t>DRM is part of a nationwide network of disability rights organizations established by Congress to protect the rights of all individuals with disabilities.</w:t>
      </w:r>
      <w:r w:rsidR="00657CB1">
        <w:br w:type="page"/>
      </w:r>
    </w:p>
    <w:p w14:paraId="30864307" w14:textId="77777777" w:rsidR="000D5DD9" w:rsidRDefault="000D5DD9" w:rsidP="001B546C">
      <w:pPr>
        <w:pStyle w:val="Heading1"/>
      </w:pPr>
      <w:bookmarkStart w:id="2" w:name="_Toc179457404"/>
      <w:r>
        <w:lastRenderedPageBreak/>
        <w:t>Executive Summary</w:t>
      </w:r>
      <w:bookmarkEnd w:id="2"/>
    </w:p>
    <w:p w14:paraId="29C6287B" w14:textId="77777777" w:rsidR="00311FCF" w:rsidRDefault="00311FCF" w:rsidP="001A724E">
      <w:r>
        <w:t xml:space="preserve">Adult guardianship—the legal process through which the authority of a person to make their own decision is removed and given to another person—is one of the most restrictive legal arrangements short of incarceration.  </w:t>
      </w:r>
      <w:r w:rsidR="00F60852">
        <w:t xml:space="preserve">Guardians can control most aspects of another person’s life, including decisions about medical care, </w:t>
      </w:r>
      <w:r w:rsidR="00FD5427">
        <w:t>housing, finances, and employment.  Despite the fundamental rights that guardianship removes, i</w:t>
      </w:r>
      <w:r>
        <w:t>t is not something many people consider.  A</w:t>
      </w:r>
      <w:r w:rsidR="00F60852">
        <w:t>side from</w:t>
      </w:r>
      <w:r>
        <w:t xml:space="preserve"> high profile news stories</w:t>
      </w:r>
      <w:r w:rsidR="00F60852">
        <w:t xml:space="preserve"> involving</w:t>
      </w:r>
      <w:r>
        <w:t xml:space="preserve"> Britney Spears, or, more recently, Michael Oher from the book and movie </w:t>
      </w:r>
      <w:r>
        <w:rPr>
          <w:i/>
        </w:rPr>
        <w:t>The Blind Side</w:t>
      </w:r>
      <w:r>
        <w:t xml:space="preserve">, </w:t>
      </w:r>
      <w:r w:rsidR="00F60852">
        <w:t>we don’t hear a lot about adult guardianship.</w:t>
      </w:r>
      <w:r w:rsidR="00F60852">
        <w:rPr>
          <w:rStyle w:val="FootnoteReference"/>
        </w:rPr>
        <w:footnoteReference w:id="2"/>
      </w:r>
      <w:r w:rsidR="00F60852">
        <w:t xml:space="preserve">  This is reflected in a general lack of data concerning the topic.</w:t>
      </w:r>
    </w:p>
    <w:p w14:paraId="320BAE5B" w14:textId="67490907" w:rsidR="001A724E" w:rsidRDefault="00007B46" w:rsidP="001A724E">
      <w:r>
        <w:t xml:space="preserve">Disability Rights Maine undertook this study, the first of its kind in Maine, to gather data on adult guardianship.  DRM collected data on all adult guardianship cases statewide over the </w:t>
      </w:r>
      <w:r w:rsidR="0065071B">
        <w:t xml:space="preserve">years </w:t>
      </w:r>
      <w:r>
        <w:t>2019</w:t>
      </w:r>
      <w:r w:rsidR="0065071B">
        <w:t xml:space="preserve">, 2020, and </w:t>
      </w:r>
      <w:r>
        <w:t>2021.  We collected information on the rate that people for whom guardianship is sought (called Respondents)</w:t>
      </w:r>
      <w:r w:rsidR="00311FCF">
        <w:t xml:space="preserve"> are represented by attorneys, the rate at which guardianships are granted, the rate at which those guardianships are full versus limited, and the difference in outcomes between cases whe</w:t>
      </w:r>
      <w:r w:rsidR="00E444C5">
        <w:t>n</w:t>
      </w:r>
      <w:r w:rsidR="00311FCF">
        <w:t xml:space="preserve"> Respondents had attorneys compared with when they lacked representation</w:t>
      </w:r>
      <w:r w:rsidR="00F60852">
        <w:t>.</w:t>
      </w:r>
    </w:p>
    <w:p w14:paraId="052CB154" w14:textId="3AE58451" w:rsidR="00311FCF" w:rsidRDefault="00F60852" w:rsidP="001A724E">
      <w:r>
        <w:t xml:space="preserve">The data showed the rate at which Respondents are represented by attorneys </w:t>
      </w:r>
      <w:r w:rsidR="00BC56BC">
        <w:t xml:space="preserve">is </w:t>
      </w:r>
      <w:r>
        <w:t xml:space="preserve">very low.  Over the three years studied, about 75% of people </w:t>
      </w:r>
      <w:r w:rsidR="001911A7">
        <w:t>went</w:t>
      </w:r>
      <w:r>
        <w:t xml:space="preserve"> through the guardianship process without a lawyer.</w:t>
      </w:r>
      <w:r w:rsidR="00FD5427">
        <w:t xml:space="preserve">  Most cases, over 7</w:t>
      </w:r>
      <w:r w:rsidR="00B121DF">
        <w:t>7</w:t>
      </w:r>
      <w:r w:rsidR="00FD5427">
        <w:t xml:space="preserve">% overall, resulted in the appointment of a guardian, and of those appointments, over 90% were full guardianships.  For individuals with developmental disabilities, the rates </w:t>
      </w:r>
      <w:r w:rsidR="004E3077">
        <w:t>were</w:t>
      </w:r>
      <w:r w:rsidR="00FD5427">
        <w:t xml:space="preserve"> even more extreme</w:t>
      </w:r>
      <w:r w:rsidR="00BC56BC">
        <w:t>.</w:t>
      </w:r>
      <w:r w:rsidR="00FD5427">
        <w:t xml:space="preserve"> </w:t>
      </w:r>
      <w:r w:rsidR="004E3077">
        <w:t xml:space="preserve"> </w:t>
      </w:r>
      <w:r w:rsidR="00BC56BC">
        <w:t>O</w:t>
      </w:r>
      <w:r w:rsidR="00FD5427">
        <w:t xml:space="preserve">ver </w:t>
      </w:r>
      <w:r w:rsidR="00875925">
        <w:t>90</w:t>
      </w:r>
      <w:r w:rsidR="00FD5427">
        <w:t xml:space="preserve">% </w:t>
      </w:r>
      <w:r w:rsidR="004E3077">
        <w:t>went</w:t>
      </w:r>
      <w:r w:rsidR="00BC56BC">
        <w:t xml:space="preserve"> without</w:t>
      </w:r>
      <w:r w:rsidR="00FD5427">
        <w:t xml:space="preserve"> legal representation, and over 90% </w:t>
      </w:r>
      <w:r w:rsidR="00D81AB3">
        <w:t xml:space="preserve">of cases </w:t>
      </w:r>
      <w:r w:rsidR="00FD5427">
        <w:t>result</w:t>
      </w:r>
      <w:r w:rsidR="004E3077">
        <w:t>ed</w:t>
      </w:r>
      <w:r w:rsidR="00FD5427">
        <w:t xml:space="preserve"> in appointments of guardians.</w:t>
      </w:r>
    </w:p>
    <w:p w14:paraId="1E9B95F2" w14:textId="77777777" w:rsidR="00D81AB3" w:rsidRDefault="00D81AB3" w:rsidP="001A724E">
      <w:r>
        <w:t>One of the most compelling results DRM found was in comparing outcomes between cases in which Respondents had attorneys and cases in which they didn’t.  In cases where the Respondents had attorneys, the outcome</w:t>
      </w:r>
      <w:r w:rsidR="001911A7">
        <w:t>s</w:t>
      </w:r>
      <w:r>
        <w:t xml:space="preserve"> w</w:t>
      </w:r>
      <w:r w:rsidR="001911A7">
        <w:t>ere</w:t>
      </w:r>
      <w:r>
        <w:t xml:space="preserve"> far less restrictive: rates at which guardians were appoint</w:t>
      </w:r>
      <w:r w:rsidR="00BC56BC">
        <w:t>ed</w:t>
      </w:r>
      <w:r>
        <w:t xml:space="preserve"> went down, and when they were appointed, the</w:t>
      </w:r>
      <w:r w:rsidR="0065071B">
        <w:t xml:space="preserve"> rate at which they were limited went up</w:t>
      </w:r>
      <w:r>
        <w:t>.</w:t>
      </w:r>
    </w:p>
    <w:p w14:paraId="51D421C1" w14:textId="3E82F252" w:rsidR="00D81AB3" w:rsidRPr="001A724E" w:rsidRDefault="00D81AB3" w:rsidP="001A724E">
      <w:r>
        <w:t xml:space="preserve">This report presents an overview of the guardianship system as it exists in Maine, as well as a discussion of the shortage nationwide on data regarding guardianships.  </w:t>
      </w:r>
      <w:r w:rsidR="00BC56BC">
        <w:t xml:space="preserve">It </w:t>
      </w:r>
      <w:r>
        <w:t>will discuss our method of data collection</w:t>
      </w:r>
      <w:r w:rsidR="00054F27">
        <w:t xml:space="preserve"> using the probate court online search.  Then, we present our </w:t>
      </w:r>
      <w:r w:rsidR="00A402B8">
        <w:t>key findings</w:t>
      </w:r>
      <w:r w:rsidR="00054F27">
        <w:t xml:space="preserve"> of the data collected</w:t>
      </w:r>
      <w:r w:rsidR="00A402B8">
        <w:t>, as well as conclusions drawn</w:t>
      </w:r>
      <w:r w:rsidR="00054F27">
        <w:t xml:space="preserve">.  </w:t>
      </w:r>
      <w:r w:rsidR="00747D8B">
        <w:t>DRM’s</w:t>
      </w:r>
      <w:r w:rsidR="00054F27">
        <w:t xml:space="preserve"> hope is that this report can serve as a model for further data collection and assess</w:t>
      </w:r>
      <w:r w:rsidR="00747D8B">
        <w:t>ment</w:t>
      </w:r>
      <w:r w:rsidR="00054F27">
        <w:t xml:space="preserve"> in order to drive policy change on guardianship reform.</w:t>
      </w:r>
    </w:p>
    <w:p w14:paraId="521FD5D5" w14:textId="77777777" w:rsidR="00751B02" w:rsidRPr="00751B02" w:rsidRDefault="0007757B" w:rsidP="001B546C">
      <w:pPr>
        <w:pStyle w:val="Heading1"/>
      </w:pPr>
      <w:bookmarkStart w:id="3" w:name="_Toc179457405"/>
      <w:r w:rsidRPr="00FD52B5">
        <w:lastRenderedPageBreak/>
        <w:t>Introduction</w:t>
      </w:r>
      <w:bookmarkEnd w:id="3"/>
    </w:p>
    <w:p w14:paraId="2A5B3BB9" w14:textId="77777777" w:rsidR="00751B02" w:rsidRPr="00723927" w:rsidRDefault="00751B02" w:rsidP="00017521">
      <w:pPr>
        <w:pStyle w:val="Heading2"/>
      </w:pPr>
      <w:bookmarkStart w:id="4" w:name="_Toc179457406"/>
      <w:r w:rsidRPr="00723927">
        <w:t>Decision</w:t>
      </w:r>
      <w:r w:rsidR="00657CB1">
        <w:t>-</w:t>
      </w:r>
      <w:r w:rsidRPr="00723927">
        <w:t>making as a Fundamental Right</w:t>
      </w:r>
      <w:bookmarkEnd w:id="4"/>
    </w:p>
    <w:p w14:paraId="090EFEE7" w14:textId="0D965403" w:rsidR="00147396" w:rsidRDefault="0078762A" w:rsidP="003A6E55">
      <w:r>
        <w:t xml:space="preserve">Self-determination—the process by which a person </w:t>
      </w:r>
      <w:r w:rsidR="00657E99">
        <w:t xml:space="preserve">determines the course of </w:t>
      </w:r>
      <w:r>
        <w:t>their own life—</w:t>
      </w:r>
      <w:r w:rsidR="00D37BFC">
        <w:t xml:space="preserve">is one of the most fundamental rights inherent </w:t>
      </w:r>
      <w:r w:rsidR="007B7103">
        <w:t xml:space="preserve">to </w:t>
      </w:r>
      <w:r w:rsidR="00D37BFC">
        <w:t>being human.  Many decisions are small</w:t>
      </w:r>
      <w:r w:rsidR="004E3077">
        <w:t>, f</w:t>
      </w:r>
      <w:r w:rsidR="00D37BFC">
        <w:t xml:space="preserve">or instance, </w:t>
      </w:r>
      <w:r>
        <w:t>what to have for breakfast</w:t>
      </w:r>
      <w:r w:rsidR="00D37BFC">
        <w:t>, whether t</w:t>
      </w:r>
      <w:r w:rsidR="00147396">
        <w:t>o</w:t>
      </w:r>
      <w:r w:rsidR="00D37BFC">
        <w:t xml:space="preserve"> wear a jacket on a chilly day, or </w:t>
      </w:r>
      <w:r w:rsidR="00147396">
        <w:t xml:space="preserve">how to </w:t>
      </w:r>
      <w:r>
        <w:t>style</w:t>
      </w:r>
      <w:r w:rsidR="00147396">
        <w:t xml:space="preserve"> our hair.  Some decisions are much more important, like choosing a career, deciding whether to move, or </w:t>
      </w:r>
      <w:r w:rsidR="004E3077">
        <w:t xml:space="preserve">deciding </w:t>
      </w:r>
      <w:r w:rsidR="00147396">
        <w:t>who</w:t>
      </w:r>
      <w:r w:rsidR="000306FB">
        <w:t xml:space="preserve"> to spend our time with</w:t>
      </w:r>
      <w:r w:rsidR="00147396">
        <w:t xml:space="preserve">.  Some decisions we make on our own, and some we </w:t>
      </w:r>
      <w:r w:rsidR="004E3077">
        <w:t xml:space="preserve">make by </w:t>
      </w:r>
      <w:r w:rsidR="000306FB">
        <w:t>c</w:t>
      </w:r>
      <w:r w:rsidR="00147396">
        <w:t>onsult</w:t>
      </w:r>
      <w:r w:rsidR="004E3077">
        <w:t>ing</w:t>
      </w:r>
      <w:r w:rsidR="00147396">
        <w:t xml:space="preserve"> with others</w:t>
      </w:r>
      <w:r w:rsidR="000306FB">
        <w:t>,</w:t>
      </w:r>
      <w:r w:rsidR="00147396">
        <w:t xml:space="preserve"> such as family, a friend, or a medical provider</w:t>
      </w:r>
      <w:r>
        <w:t>.</w:t>
      </w:r>
    </w:p>
    <w:p w14:paraId="1F559D77" w14:textId="77777777" w:rsidR="00147396" w:rsidRDefault="0078762A" w:rsidP="00846811">
      <w:r>
        <w:t>Most people take the ability to make their own decisions</w:t>
      </w:r>
      <w:r w:rsidR="00147396">
        <w:t xml:space="preserve"> for granted.  When </w:t>
      </w:r>
      <w:r w:rsidR="00C133F8">
        <w:t xml:space="preserve">most people </w:t>
      </w:r>
      <w:r w:rsidR="00147396">
        <w:t>are deciding</w:t>
      </w:r>
      <w:r w:rsidR="00C133F8">
        <w:t>,</w:t>
      </w:r>
      <w:r w:rsidR="00147396">
        <w:t xml:space="preserve"> for instance, whether to buy a new winter coat, </w:t>
      </w:r>
      <w:r w:rsidR="00C133F8">
        <w:t xml:space="preserve">they </w:t>
      </w:r>
      <w:r w:rsidR="007B7103">
        <w:t xml:space="preserve">might consider the cost of a coat, but </w:t>
      </w:r>
      <w:r w:rsidR="00C133F8">
        <w:t xml:space="preserve">they </w:t>
      </w:r>
      <w:r w:rsidR="00147396">
        <w:t xml:space="preserve">don’t ordinarily think too much about </w:t>
      </w:r>
      <w:r w:rsidR="00147396" w:rsidRPr="00401458">
        <w:rPr>
          <w:i/>
        </w:rPr>
        <w:t>whose</w:t>
      </w:r>
      <w:r w:rsidR="00147396">
        <w:t xml:space="preserve"> decision this is.  </w:t>
      </w:r>
      <w:r w:rsidR="00045A06">
        <w:t xml:space="preserve">Most people assume that the </w:t>
      </w:r>
      <w:r w:rsidR="00401458">
        <w:t>right to make decision</w:t>
      </w:r>
      <w:r w:rsidR="00747D8B">
        <w:t>s</w:t>
      </w:r>
      <w:r w:rsidR="00401458">
        <w:t xml:space="preserve"> about </w:t>
      </w:r>
      <w:r w:rsidR="00045A06">
        <w:t xml:space="preserve">their </w:t>
      </w:r>
      <w:r w:rsidR="00401458">
        <w:t>own li</w:t>
      </w:r>
      <w:r w:rsidR="00045A06">
        <w:t>v</w:t>
      </w:r>
      <w:r w:rsidR="00401458">
        <w:t>e</w:t>
      </w:r>
      <w:r w:rsidR="00045A06">
        <w:t>s</w:t>
      </w:r>
      <w:r w:rsidR="00401458">
        <w:t xml:space="preserve"> belongs to </w:t>
      </w:r>
      <w:r w:rsidR="00045A06">
        <w:t>them</w:t>
      </w:r>
      <w:r w:rsidR="00401458">
        <w:t>.</w:t>
      </w:r>
    </w:p>
    <w:p w14:paraId="3286A4E4" w14:textId="77777777" w:rsidR="00401458" w:rsidRDefault="00401458" w:rsidP="00846811">
      <w:bookmarkStart w:id="5" w:name="_Hlk176515739"/>
      <w:r w:rsidRPr="00401458">
        <w:t xml:space="preserve">Of course, </w:t>
      </w:r>
      <w:r w:rsidR="00045A06">
        <w:t xml:space="preserve">the freedom to make </w:t>
      </w:r>
      <w:r w:rsidRPr="00401458">
        <w:t>decision</w:t>
      </w:r>
      <w:r w:rsidR="00045A06">
        <w:t>s</w:t>
      </w:r>
      <w:r w:rsidRPr="00401458">
        <w:t xml:space="preserve"> isn’t limitless for anyone.  We are all constrained by circumstance.  Our choices are restricted by things like finances, availability of services, employment and familial obligations, the laws of physics</w:t>
      </w:r>
      <w:r w:rsidR="007B7103">
        <w:t>, etc.</w:t>
      </w:r>
      <w:r w:rsidR="00045A06">
        <w:t xml:space="preserve">  But for people under guardianship, </w:t>
      </w:r>
      <w:r w:rsidR="00C8145A">
        <w:t>decisions</w:t>
      </w:r>
      <w:r w:rsidR="007F48D6">
        <w:t xml:space="preserve"> are constrained on a more fundamental level.  It is not only the range of choices that is limited, but rather, the very ability to make choices at all.</w:t>
      </w:r>
    </w:p>
    <w:p w14:paraId="72707D51" w14:textId="77777777" w:rsidR="00751B02" w:rsidRDefault="00147396" w:rsidP="00846811">
      <w:r>
        <w:t xml:space="preserve">Adult guardianship </w:t>
      </w:r>
      <w:r w:rsidR="005069B2">
        <w:t>takes</w:t>
      </w:r>
      <w:r w:rsidR="0078762A">
        <w:t xml:space="preserve"> the notion of </w:t>
      </w:r>
      <w:r w:rsidR="007F48D6">
        <w:t xml:space="preserve">an inherent right to </w:t>
      </w:r>
      <w:r w:rsidR="0078762A">
        <w:t>self-determination and turns it on its head.</w:t>
      </w:r>
      <w:r>
        <w:t xml:space="preserve">  It forces us to think </w:t>
      </w:r>
      <w:r w:rsidR="00751B02">
        <w:t>not just about whether, and under what circumstances, another person should be in charge of making decisions for an individual, but</w:t>
      </w:r>
      <w:r w:rsidR="007F48D6">
        <w:t xml:space="preserve"> also</w:t>
      </w:r>
      <w:r w:rsidR="00751B02">
        <w:t xml:space="preserve">, on a deeper level, it forces us to think about </w:t>
      </w:r>
      <w:r w:rsidR="00751B02">
        <w:rPr>
          <w:i/>
        </w:rPr>
        <w:t>why</w:t>
      </w:r>
      <w:r w:rsidR="00751B02">
        <w:t xml:space="preserve"> decision</w:t>
      </w:r>
      <w:r w:rsidR="007B7103">
        <w:t>-</w:t>
      </w:r>
      <w:r w:rsidR="00751B02">
        <w:t xml:space="preserve">making is such a fundamental right in the first place.  </w:t>
      </w:r>
      <w:r w:rsidR="000306FB">
        <w:t>W</w:t>
      </w:r>
      <w:r w:rsidR="00751B02">
        <w:t xml:space="preserve">ho we are is the result </w:t>
      </w:r>
      <w:bookmarkEnd w:id="5"/>
      <w:r w:rsidR="00751B02">
        <w:t xml:space="preserve">of the decisions we make.  So many of the ways in which we identify—nurse, husband, Patriots fan, knitter, foodie, Disney fanatic—are </w:t>
      </w:r>
      <w:r w:rsidR="0078762A">
        <w:t>the result</w:t>
      </w:r>
      <w:r w:rsidR="00751B02">
        <w:t xml:space="preserve"> of a series of decisions.</w:t>
      </w:r>
      <w:r w:rsidR="009C4BCF">
        <w:t xml:space="preserve">  In this way, the ability to make our own decisions very closely equates to </w:t>
      </w:r>
      <w:r w:rsidR="00D96F39">
        <w:t>who we are, how we see ourselves, and how others see us.</w:t>
      </w:r>
    </w:p>
    <w:p w14:paraId="608478FF" w14:textId="77777777" w:rsidR="00E57FB2" w:rsidRDefault="00E57FB2" w:rsidP="00017521">
      <w:pPr>
        <w:pStyle w:val="Heading2"/>
      </w:pPr>
      <w:bookmarkStart w:id="6" w:name="_Toc179457407"/>
      <w:r>
        <w:t>Adult Guardianship</w:t>
      </w:r>
      <w:r w:rsidR="007F0CE0">
        <w:t xml:space="preserve"> and the Probate Court System</w:t>
      </w:r>
      <w:bookmarkEnd w:id="6"/>
    </w:p>
    <w:p w14:paraId="5522B01E" w14:textId="77777777" w:rsidR="00846811" w:rsidRDefault="00751B02" w:rsidP="00846811">
      <w:r>
        <w:t xml:space="preserve">Adult guardianship is a legal process </w:t>
      </w:r>
      <w:r w:rsidR="00C8145A">
        <w:t xml:space="preserve">through </w:t>
      </w:r>
      <w:r>
        <w:t xml:space="preserve">which the ability to make decisions is removed from </w:t>
      </w:r>
      <w:r w:rsidR="009C168A">
        <w:t>one</w:t>
      </w:r>
      <w:r>
        <w:t xml:space="preserve"> person and given to another.</w:t>
      </w:r>
      <w:r w:rsidR="00E57FB2">
        <w:t xml:space="preserve">  </w:t>
      </w:r>
      <w:r w:rsidR="00846811">
        <w:t xml:space="preserve">This occurs when a court decides that a person cannot make decisions for themselves that can keep them safe and healthy, even with support.  </w:t>
      </w:r>
      <w:r w:rsidR="00C8145A">
        <w:t xml:space="preserve">To reach this conclusion, the </w:t>
      </w:r>
      <w:r w:rsidR="00846811">
        <w:t xml:space="preserve">court must find that the person </w:t>
      </w:r>
      <w:r w:rsidR="000306FB">
        <w:t xml:space="preserve">is unable to </w:t>
      </w:r>
      <w:r w:rsidR="00846811">
        <w:t>“</w:t>
      </w:r>
      <w:r w:rsidR="00846811" w:rsidRPr="00846811">
        <w:t>receive and evaluate information or make or communicate decisions</w:t>
      </w:r>
      <w:r w:rsidR="00846811">
        <w:t>” to “</w:t>
      </w:r>
      <w:r w:rsidR="00846811" w:rsidRPr="00846811">
        <w:t>meet essential requirements for physical health, safety or self-care</w:t>
      </w:r>
      <w:r w:rsidR="00846811">
        <w:t>,” even with assistance such as assistive technology or other support.</w:t>
      </w:r>
      <w:r w:rsidR="00846811">
        <w:rPr>
          <w:rStyle w:val="FootnoteReference"/>
        </w:rPr>
        <w:footnoteReference w:id="3"/>
      </w:r>
      <w:r w:rsidR="00846811">
        <w:t xml:space="preserve">  What this means is that if there is anything or anyone that can support a person with making their own decisions,</w:t>
      </w:r>
      <w:r w:rsidR="007F0CE0">
        <w:t xml:space="preserve"> the person should not </w:t>
      </w:r>
      <w:r w:rsidR="00747D8B">
        <w:t>be placed under guardianship</w:t>
      </w:r>
      <w:r w:rsidR="007F0CE0">
        <w:t>.</w:t>
      </w:r>
    </w:p>
    <w:p w14:paraId="2ECB54CD" w14:textId="77777777" w:rsidR="00D37BFC" w:rsidRDefault="00846811" w:rsidP="00846811">
      <w:r>
        <w:t xml:space="preserve">Guardianship is almost always used when the person in question has a disability, whether that be </w:t>
      </w:r>
      <w:r>
        <w:lastRenderedPageBreak/>
        <w:t>a developmental disability, a mental health label, an acquired brain injury, or a medical condition that may affect their ability to make decisions (or appear to affect it).  Some medical conditions, such as a diagnosis of dementia or a stroke, may be more likely</w:t>
      </w:r>
      <w:r w:rsidR="00DD15C3">
        <w:t xml:space="preserve"> to afflict people as they age.</w:t>
      </w:r>
    </w:p>
    <w:p w14:paraId="49811783" w14:textId="66112756" w:rsidR="00DD15C3" w:rsidRDefault="00DD15C3" w:rsidP="00054F27">
      <w:r>
        <w:t>In Maine, the probate courts exclusively decide cases involving adult guardianship.</w:t>
      </w:r>
      <w:r w:rsidR="008B6ED0">
        <w:t xml:space="preserve">  Unlike the district courts, superior courts, and the state supreme court, which are part of the state’s Judicial Branch, probate courts are county-run courts.  There are sixteen probate courts, one for each county</w:t>
      </w:r>
      <w:r w:rsidR="009348F5">
        <w:t xml:space="preserve"> in Maine</w:t>
      </w:r>
      <w:r w:rsidR="008B6ED0">
        <w:t xml:space="preserve">.  </w:t>
      </w:r>
      <w:r w:rsidR="009348F5">
        <w:t>Unlike j</w:t>
      </w:r>
      <w:r w:rsidR="008B6ED0">
        <w:t xml:space="preserve">udges in </w:t>
      </w:r>
      <w:r w:rsidR="009348F5">
        <w:t>the</w:t>
      </w:r>
      <w:r w:rsidR="008B6ED0">
        <w:t xml:space="preserve"> </w:t>
      </w:r>
      <w:r w:rsidR="004D2C33">
        <w:t>state J</w:t>
      </w:r>
      <w:r w:rsidR="00A71198">
        <w:t xml:space="preserve">udicial </w:t>
      </w:r>
      <w:r w:rsidR="004D2C33">
        <w:t>B</w:t>
      </w:r>
      <w:r w:rsidR="00A71198">
        <w:t>ranch</w:t>
      </w:r>
      <w:r w:rsidR="009348F5">
        <w:t>, who</w:t>
      </w:r>
      <w:r w:rsidR="00A71198">
        <w:t xml:space="preserve"> </w:t>
      </w:r>
      <w:r w:rsidR="008B6ED0">
        <w:t xml:space="preserve">are appointed by the Governor and confirmed by the Senate to serve seven-years terms, probate judges are elected, as are registers of probate, who manage the </w:t>
      </w:r>
      <w:r w:rsidR="007F0CE0">
        <w:t xml:space="preserve">probate </w:t>
      </w:r>
      <w:r w:rsidR="008B6ED0">
        <w:t>court</w:t>
      </w:r>
      <w:r w:rsidR="007F0CE0">
        <w:t>s</w:t>
      </w:r>
      <w:r w:rsidR="008B6ED0">
        <w:t xml:space="preserve">.  Registers of probate are full-time employees, while judges serve part-time.  </w:t>
      </w:r>
      <w:r w:rsidR="007F0CE0">
        <w:t>M</w:t>
      </w:r>
      <w:r w:rsidR="008B6ED0">
        <w:t>any probate court judges are also practicing attorneys.  Probate courts are funded by the county in which they exist.</w:t>
      </w:r>
    </w:p>
    <w:p w14:paraId="786FCAA9" w14:textId="77777777" w:rsidR="00311C42" w:rsidRDefault="00311C42" w:rsidP="00017521">
      <w:pPr>
        <w:pStyle w:val="Heading2"/>
      </w:pPr>
      <w:bookmarkStart w:id="7" w:name="_Toc179457408"/>
      <w:r>
        <w:t xml:space="preserve">The Importance </w:t>
      </w:r>
      <w:r w:rsidR="007B7103">
        <w:t xml:space="preserve">of </w:t>
      </w:r>
      <w:r w:rsidR="007E247B">
        <w:t>the Attorney</w:t>
      </w:r>
      <w:bookmarkEnd w:id="7"/>
    </w:p>
    <w:p w14:paraId="73BEBFEF" w14:textId="77777777" w:rsidR="003A6DD8" w:rsidRDefault="00FC03A6" w:rsidP="00846811">
      <w:r>
        <w:t xml:space="preserve">A person </w:t>
      </w:r>
      <w:r w:rsidR="008E013E">
        <w:t>is often</w:t>
      </w:r>
      <w:r>
        <w:t xml:space="preserve"> entitled to an attorney when fundamental rights are implicated, whether they can afford one or not.  The most common example is</w:t>
      </w:r>
      <w:r w:rsidR="008815FA">
        <w:t xml:space="preserve"> </w:t>
      </w:r>
      <w:r>
        <w:t xml:space="preserve">the constitutional requirement that a person accused of a crime is entitled to a court-appointed attorney </w:t>
      </w:r>
      <w:r w:rsidR="008815FA">
        <w:t xml:space="preserve">if their freedom is at risk.  </w:t>
      </w:r>
      <w:r>
        <w:t>A</w:t>
      </w:r>
      <w:r w:rsidR="008815FA">
        <w:t xml:space="preserve"> parent is entitled to an attorney </w:t>
      </w:r>
      <w:r>
        <w:t>if their child is taken into foster care</w:t>
      </w:r>
      <w:r w:rsidR="008E013E">
        <w:t>,</w:t>
      </w:r>
      <w:r>
        <w:t xml:space="preserve"> </w:t>
      </w:r>
      <w:r w:rsidR="008815FA">
        <w:t xml:space="preserve">because </w:t>
      </w:r>
      <w:r>
        <w:t>parenting</w:t>
      </w:r>
      <w:r w:rsidR="008815FA">
        <w:t xml:space="preserve"> is </w:t>
      </w:r>
      <w:r w:rsidR="007F0CE0">
        <w:t xml:space="preserve">a </w:t>
      </w:r>
      <w:r w:rsidR="008815FA">
        <w:t>fundamental</w:t>
      </w:r>
      <w:r w:rsidR="007F0CE0">
        <w:t xml:space="preserve"> right</w:t>
      </w:r>
      <w:r w:rsidR="008815FA">
        <w:t xml:space="preserve">.  </w:t>
      </w:r>
      <w:r w:rsidR="007E247B">
        <w:t>When the state seeks to involuntarily commit a person to a hospital due to an alleged mental illness, that person is entitled to an attorney</w:t>
      </w:r>
      <w:r w:rsidR="008E013E">
        <w:t>,</w:t>
      </w:r>
      <w:r w:rsidR="007E247B">
        <w:t xml:space="preserve"> because that person’s liberty is at stake.</w:t>
      </w:r>
    </w:p>
    <w:p w14:paraId="77D62E7B" w14:textId="77777777" w:rsidR="00C71660" w:rsidRDefault="00FC03A6" w:rsidP="00846811">
      <w:r>
        <w:t>Because g</w:t>
      </w:r>
      <w:r w:rsidR="008815FA">
        <w:t>uardianship also implicates fundamental rights</w:t>
      </w:r>
      <w:r w:rsidR="00311C42">
        <w:t xml:space="preserve">, a person </w:t>
      </w:r>
      <w:r w:rsidR="00407C82">
        <w:t>for whom guardianship is sought</w:t>
      </w:r>
      <w:r w:rsidR="00311C42">
        <w:t xml:space="preserve"> is entitled to court-appointed counsel.  However, unlike the</w:t>
      </w:r>
      <w:r w:rsidR="008815FA">
        <w:t xml:space="preserve"> earlier</w:t>
      </w:r>
      <w:r w:rsidR="00311C42">
        <w:t xml:space="preserve"> examples, </w:t>
      </w:r>
      <w:r>
        <w:t xml:space="preserve">the appointment of an attorney in </w:t>
      </w:r>
      <w:r w:rsidR="008E013E">
        <w:t>guardianship</w:t>
      </w:r>
      <w:r>
        <w:t xml:space="preserve"> cases is not automatic.</w:t>
      </w:r>
      <w:r w:rsidR="00311C42">
        <w:t xml:space="preserve">  A guardianship case begins when someone (called the Petitioner), or in some instances the state (via the Department of Health and Human Services), files a petition in probate court asking to be appointed as a guardian for a person (called the Respondent).  </w:t>
      </w:r>
      <w:bookmarkStart w:id="8" w:name="_Hlk174185934"/>
      <w:r w:rsidR="00311C42">
        <w:t>The court must appoint an attorney for the Respondent</w:t>
      </w:r>
      <w:r w:rsidR="00C71660">
        <w:t xml:space="preserve"> only</w:t>
      </w:r>
      <w:r w:rsidR="00311C42">
        <w:t xml:space="preserve"> if the Respondent requests it, if it is recommended by the court-appointed visitor, if the court determines the Respondent should </w:t>
      </w:r>
      <w:r w:rsidR="00407C82">
        <w:t>have an attorney</w:t>
      </w:r>
      <w:r w:rsidR="00311C42">
        <w:t>, or if the court learns that the Respondent wants to contest or limit the guardianship.</w:t>
      </w:r>
      <w:r w:rsidR="00E54108">
        <w:rPr>
          <w:rStyle w:val="FootnoteReference"/>
        </w:rPr>
        <w:footnoteReference w:id="4"/>
      </w:r>
    </w:p>
    <w:bookmarkEnd w:id="8"/>
    <w:p w14:paraId="6EC20BDB" w14:textId="77777777" w:rsidR="008B6ED0" w:rsidRDefault="00311C42" w:rsidP="00846811">
      <w:r>
        <w:t>Given the fundamental rights</w:t>
      </w:r>
      <w:r w:rsidR="00800D8F">
        <w:t xml:space="preserve"> that guardianship removes</w:t>
      </w:r>
      <w:r>
        <w:t xml:space="preserve">, it is difficult to </w:t>
      </w:r>
      <w:r w:rsidR="00800D8F">
        <w:t>conceive of a situation where the Respondent should not have their own independent advocate to advise and help them navigate the process</w:t>
      </w:r>
      <w:r w:rsidR="008815FA">
        <w:t>.</w:t>
      </w:r>
      <w:r w:rsidR="00C71660">
        <w:t xml:space="preserve">  Nevertheless, Respondents are </w:t>
      </w:r>
      <w:r w:rsidR="00DE21DE">
        <w:t>overwhelmingly</w:t>
      </w:r>
      <w:r w:rsidR="00C71660">
        <w:t xml:space="preserve"> without such advocacy.</w:t>
      </w:r>
    </w:p>
    <w:p w14:paraId="254DD569" w14:textId="77777777" w:rsidR="00FB0617" w:rsidRDefault="00B1729D" w:rsidP="00846811">
      <w:r>
        <w:t>A common justification for the absence of an attorney for a Respondent is that a person is “too disabled” to be able to work with an attorney.  This justification is most often rooted in presumptions and biases about people with disabilities.  It is also legally problematic, because in a guardianship proceeding, a person must be presumed to have capacity until proven otherwise.  To assume incapacity at the beginning of a case deprives the Respondent of due process and shifts the burden to them to prove they “deserve” legal representation.</w:t>
      </w:r>
    </w:p>
    <w:p w14:paraId="3600D292" w14:textId="76BE0842" w:rsidR="00B1729D" w:rsidRPr="00BE0B06" w:rsidRDefault="00B1729D" w:rsidP="00846811">
      <w:r>
        <w:t xml:space="preserve">Another reason often used to justify a deprivation of counsel is that the Respondent doesn’t wish </w:t>
      </w:r>
      <w:r>
        <w:lastRenderedPageBreak/>
        <w:t>to contest the guardianship, and so there is no reason for them to have an attorney, which could make the process unnecessarily adversarial.</w:t>
      </w:r>
      <w:r w:rsidR="00D66BFC">
        <w:t xml:space="preserve">  </w:t>
      </w:r>
      <w:r w:rsidR="00C71660">
        <w:t>Th</w:t>
      </w:r>
      <w:r w:rsidR="00E54108">
        <w:t>is</w:t>
      </w:r>
      <w:r w:rsidR="00C71660">
        <w:t xml:space="preserve"> reasoning fails to understand the </w:t>
      </w:r>
      <w:r w:rsidR="006D75E9">
        <w:t>role of an attorney</w:t>
      </w:r>
      <w:r w:rsidR="00C71660">
        <w:t xml:space="preserve">.  </w:t>
      </w:r>
      <w:r w:rsidR="00D66BFC">
        <w:t>Attorneys need not make a process more difficult than it should be</w:t>
      </w:r>
      <w:r w:rsidR="00106296">
        <w:t>;</w:t>
      </w:r>
      <w:r w:rsidR="00D66BFC">
        <w:t xml:space="preserve"> they are tasked with ensuring their client understands the process and their full legal rights, and </w:t>
      </w:r>
      <w:r w:rsidR="00106296">
        <w:t xml:space="preserve">with </w:t>
      </w:r>
      <w:r w:rsidR="00D66BFC">
        <w:t>advocat</w:t>
      </w:r>
      <w:r w:rsidR="00BE1EA7">
        <w:t>ing</w:t>
      </w:r>
      <w:r w:rsidR="00D66BFC">
        <w:t xml:space="preserve"> for what they want.  There is a certain irony when a court concludes </w:t>
      </w:r>
      <w:r w:rsidR="00387E7B">
        <w:t xml:space="preserve">that </w:t>
      </w:r>
      <w:r w:rsidR="00151EFD">
        <w:t xml:space="preserve">a </w:t>
      </w:r>
      <w:r w:rsidR="00D66BFC">
        <w:t xml:space="preserve">person lacks capacity </w:t>
      </w:r>
      <w:r w:rsidR="00B31DA1">
        <w:t>so as to</w:t>
      </w:r>
      <w:r w:rsidR="00D66BFC">
        <w:t xml:space="preserve"> need a guardian while simultaneously </w:t>
      </w:r>
      <w:r w:rsidR="00D66BFC" w:rsidRPr="00BE0B06">
        <w:t>accepting that person’s consent, without legal representation, to surrender</w:t>
      </w:r>
      <w:r w:rsidR="00B31DA1">
        <w:t xml:space="preserve"> most of their civil rights</w:t>
      </w:r>
      <w:r w:rsidR="00D66BFC" w:rsidRPr="00BE0B06">
        <w:t>.</w:t>
      </w:r>
      <w:r w:rsidR="00D66BFC" w:rsidRPr="00BE0B06">
        <w:rPr>
          <w:rStyle w:val="FootnoteReference"/>
        </w:rPr>
        <w:footnoteReference w:id="5"/>
      </w:r>
    </w:p>
    <w:p w14:paraId="589AF212" w14:textId="77777777" w:rsidR="000932D5" w:rsidRDefault="000932D5" w:rsidP="00C73DD8">
      <w:r w:rsidRPr="00BE0B06">
        <w:t>It has also been</w:t>
      </w:r>
      <w:r w:rsidR="00E54108">
        <w:t xml:space="preserve"> suggested</w:t>
      </w:r>
      <w:r w:rsidRPr="00BE0B06">
        <w:t xml:space="preserve"> that an</w:t>
      </w:r>
      <w:r>
        <w:t xml:space="preserve"> attorney for the Respondent is not necessary because the court-appointed visitor is adequate</w:t>
      </w:r>
      <w:r w:rsidR="00C73DD8">
        <w:t>.</w:t>
      </w:r>
      <w:r w:rsidR="00C73DD8">
        <w:rPr>
          <w:rStyle w:val="FootnoteReference"/>
        </w:rPr>
        <w:footnoteReference w:id="6"/>
      </w:r>
      <w:r w:rsidR="00C73DD8">
        <w:t xml:space="preserve">  But </w:t>
      </w:r>
      <w:r>
        <w:t>the visitor’s role is very different from the role of the attorney, and the two roles should not be conflated.</w:t>
      </w:r>
      <w:r w:rsidR="00C73DD8">
        <w:t xml:space="preserve">  </w:t>
      </w:r>
      <w:r>
        <w:t>A court-appointed visitor, unlike an attorney, is not tasked with advocat</w:t>
      </w:r>
      <w:r w:rsidR="007B7103">
        <w:t>ing</w:t>
      </w:r>
      <w:r>
        <w:t xml:space="preserve"> for the wishes of the Respondent.  A visitor is meant to conduct an investigation of sorts, interviewing the Respondent, the potential guardian, and other records as appropriate, and reporting to the court whether the visitor believes a guardianship is appropriate.  </w:t>
      </w:r>
      <w:r w:rsidR="00C73DD8">
        <w:t>The visitor’s</w:t>
      </w:r>
      <w:r>
        <w:t xml:space="preserve"> recommendation does not need to </w:t>
      </w:r>
      <w:r w:rsidR="00C73DD8">
        <w:t>reflect</w:t>
      </w:r>
      <w:r>
        <w:t xml:space="preserve"> the Respondent’s wishes—a visitor can </w:t>
      </w:r>
      <w:r w:rsidR="00C73DD8">
        <w:t>recommend</w:t>
      </w:r>
      <w:r w:rsidR="00F40FAA">
        <w:t xml:space="preserve"> guardianship regardless of the view of the Respondent</w:t>
      </w:r>
      <w:r w:rsidR="006D5086">
        <w:t>, and in opposition to what the Respondent wants</w:t>
      </w:r>
      <w:r w:rsidR="00F40FAA">
        <w:t>.</w:t>
      </w:r>
      <w:r w:rsidR="00C73DD8">
        <w:t xml:space="preserve">  </w:t>
      </w:r>
      <w:r w:rsidR="004D75FA">
        <w:t xml:space="preserve">In addition, </w:t>
      </w:r>
      <w:r w:rsidR="006D75E9">
        <w:t>a</w:t>
      </w:r>
      <w:r w:rsidR="00C73DD8">
        <w:t xml:space="preserve"> visitor is not </w:t>
      </w:r>
      <w:r w:rsidR="006D5086">
        <w:t>always</w:t>
      </w:r>
      <w:r w:rsidR="00C73DD8">
        <w:t xml:space="preserve"> an attorney, yet they are tasked with explaining the petition and its legal implications to the Respondent.</w:t>
      </w:r>
    </w:p>
    <w:p w14:paraId="4B457DDF" w14:textId="77777777" w:rsidR="00F40FAA" w:rsidRDefault="00F40FAA" w:rsidP="00846811">
      <w:r>
        <w:t xml:space="preserve">One final reason that has been given for the failure to appoint attorneys for Respondents in guardianship matters is the lack of attorneys willing to take cases, and budget concerns, as the counties are responsible for reimbursing </w:t>
      </w:r>
      <w:r w:rsidR="0073257C">
        <w:t xml:space="preserve">court-appointed </w:t>
      </w:r>
      <w:r>
        <w:t xml:space="preserve">attorneys.  </w:t>
      </w:r>
      <w:r w:rsidR="00C73DD8">
        <w:t>Such</w:t>
      </w:r>
      <w:r>
        <w:t xml:space="preserve"> concerns </w:t>
      </w:r>
      <w:r w:rsidR="0073257C">
        <w:t>can</w:t>
      </w:r>
      <w:r>
        <w:t xml:space="preserve"> never be justification for depriving a person of their fundamental rights.  Maine must consider ways to fulfill its obligation to ensure Respondents have legal representation</w:t>
      </w:r>
      <w:r w:rsidR="007B7103">
        <w:t>.</w:t>
      </w:r>
      <w:r w:rsidR="0073257C">
        <w:t xml:space="preserve"> </w:t>
      </w:r>
      <w:r w:rsidR="004D75FA">
        <w:t xml:space="preserve"> </w:t>
      </w:r>
      <w:r w:rsidR="007B7103">
        <w:t xml:space="preserve">The </w:t>
      </w:r>
      <w:r>
        <w:t>law requires it.</w:t>
      </w:r>
    </w:p>
    <w:p w14:paraId="43FAABFA" w14:textId="77777777" w:rsidR="005E7E91" w:rsidRDefault="005E7E91" w:rsidP="00017521">
      <w:pPr>
        <w:pStyle w:val="Heading2"/>
      </w:pPr>
      <w:bookmarkStart w:id="9" w:name="_Toc179457409"/>
      <w:r>
        <w:t>The New Maine Probate Code</w:t>
      </w:r>
      <w:bookmarkEnd w:id="9"/>
    </w:p>
    <w:p w14:paraId="02A4791B" w14:textId="208A4B0A" w:rsidR="005E7E91" w:rsidRDefault="005E7E91" w:rsidP="005E7E91">
      <w:r>
        <w:t xml:space="preserve">Maine is at the forefront of guardianship reform.  In </w:t>
      </w:r>
      <w:r w:rsidR="00D84BCD">
        <w:t>2018,</w:t>
      </w:r>
      <w:r>
        <w:t xml:space="preserve"> Maine became the first state in the nation to enact a law based upon the Uniform </w:t>
      </w:r>
      <w:r w:rsidRPr="005E7E91">
        <w:t>Guardianship, Conservatorship, and Other Protective Arrangements Act</w:t>
      </w:r>
      <w:r w:rsidR="00D84BCD">
        <w:t xml:space="preserve"> (UGCOPAA).</w:t>
      </w:r>
      <w:r w:rsidR="00BA70A4">
        <w:rPr>
          <w:rStyle w:val="FootnoteReference"/>
        </w:rPr>
        <w:footnoteReference w:id="7"/>
      </w:r>
      <w:r w:rsidR="00D84BCD">
        <w:t xml:space="preserve">  This is a model law created by the Uniform Law Commission, which drafts laws on which states may base their own laws.  The UGCOPAA was </w:t>
      </w:r>
      <w:r w:rsidR="00D84BCD">
        <w:lastRenderedPageBreak/>
        <w:t xml:space="preserve">drafted over many years with input from stakeholders across the country, including probate court judges, attorneys, the National Disability Rights Network, and the National Academy of Elder Law Attorneys.  </w:t>
      </w:r>
      <w:r w:rsidR="00977178">
        <w:t>Maine’s</w:t>
      </w:r>
      <w:r w:rsidR="00D84BCD">
        <w:t xml:space="preserve"> law went into effect in September of 2019 and replaced the state’s entire Probate Code as it pertains to guardianship.  Since that time, Washington state became the second state to enact </w:t>
      </w:r>
      <w:r w:rsidR="00106296">
        <w:t xml:space="preserve">a </w:t>
      </w:r>
      <w:r w:rsidR="00D84BCD">
        <w:t>law</w:t>
      </w:r>
      <w:r w:rsidR="00106296">
        <w:t xml:space="preserve"> based on the UGCOPAA</w:t>
      </w:r>
      <w:r w:rsidR="00D84BCD">
        <w:t>.  Currently, four other states are considering following this lead.</w:t>
      </w:r>
    </w:p>
    <w:p w14:paraId="7AC6A7C5" w14:textId="77777777" w:rsidR="005E7E91" w:rsidRDefault="00D84BCD" w:rsidP="005E7E91">
      <w:r>
        <w:t>The new Probate Code</w:t>
      </w:r>
      <w:r w:rsidR="00BA70A4">
        <w:t xml:space="preserve"> does a number of things that clarify and memorialize the rights of Respondents in guardianship matters.</w:t>
      </w:r>
      <w:r w:rsidR="005E7E91">
        <w:t xml:space="preserve"> </w:t>
      </w:r>
      <w:r w:rsidR="00BA70A4">
        <w:t xml:space="preserve"> It</w:t>
      </w:r>
      <w:r w:rsidR="005E7E91">
        <w:t xml:space="preserve"> emphasizes</w:t>
      </w:r>
      <w:r w:rsidR="00BA70A4">
        <w:t>, first and foremost, the notion that guardianship is a</w:t>
      </w:r>
      <w:r w:rsidR="005E7E91">
        <w:t xml:space="preserve"> means of last resort, and explicitly prioritizes the use of less restrictive alternatives, such as Supported Decision-Making, assistive technology, powers of attorney, and use of representative payees</w:t>
      </w:r>
      <w:r w:rsidR="00977178">
        <w:t>,</w:t>
      </w:r>
      <w:r w:rsidR="005E7E91">
        <w:t xml:space="preserve"> in lieu of full guardianship.  The statute also mandates that a court may not order a full guardianship if a less restrictive alternative, including a limited guardianship, will meet the needs of the Respondent.</w:t>
      </w:r>
    </w:p>
    <w:p w14:paraId="321F1BCB" w14:textId="77777777" w:rsidR="005E7E91" w:rsidRDefault="005E7E91" w:rsidP="005E7E91">
      <w:r>
        <w:t xml:space="preserve">The new Probate Code offers enhanced legal protections for individuals subject to, or at risk of becoming subject to, guardianship, including prioritizing less restrictive alternatives, ensuring the clear right of Respondents to have an attorney, and retaining the right to </w:t>
      </w:r>
      <w:r w:rsidR="00977178">
        <w:t xml:space="preserve">retain </w:t>
      </w:r>
      <w:r>
        <w:t>an attorney even if a guardian is appointed.</w:t>
      </w:r>
    </w:p>
    <w:p w14:paraId="6E7A0273" w14:textId="77777777" w:rsidR="00AC71A9" w:rsidRDefault="00AC71A9" w:rsidP="005E7E91">
      <w:r>
        <w:t>The drafters of the UGCOPAA</w:t>
      </w:r>
      <w:r w:rsidR="00525F30">
        <w:t>, upon which the Maine statute is based,</w:t>
      </w:r>
      <w:r>
        <w:t xml:space="preserve"> envisioned that attorneys would be appointed for Respondents in most cases:</w:t>
      </w:r>
    </w:p>
    <w:p w14:paraId="59BCEF76" w14:textId="77777777" w:rsidR="00AC71A9" w:rsidRPr="005E7E91" w:rsidRDefault="00AC71A9" w:rsidP="00AC71A9">
      <w:pPr>
        <w:ind w:left="720" w:right="720"/>
        <w:jc w:val="both"/>
      </w:pPr>
      <w:r>
        <w:t xml:space="preserve">It is expected that courts . . . will appoint counsel in virtually all cases in which the respondent would otherwise be unrepresented.  </w:t>
      </w:r>
      <w:r w:rsidR="006C58D6">
        <w:t>. . . [C]</w:t>
      </w:r>
      <w:r>
        <w:t>ourts should err on the side of protecting the respondent’s rights by finding, absent a compelling reason otherwise, that the respondent needs representation.  A guardianship proceeding can involve complex legal issues and can strip the adult of many of the most basic rights.  It should be the rare case in which the court does not find that an unrepresented respondent is in need of representation.  Visitors in such jurisdictions should also be sensitive to the fact that the respondent may lack the ability to knowingly waive appointment of counsel.</w:t>
      </w:r>
      <w:r>
        <w:rPr>
          <w:rStyle w:val="FootnoteReference"/>
        </w:rPr>
        <w:footnoteReference w:id="8"/>
      </w:r>
    </w:p>
    <w:p w14:paraId="403B5B1B" w14:textId="77777777" w:rsidR="00F40FAA" w:rsidRDefault="00F40FAA" w:rsidP="00017521">
      <w:pPr>
        <w:pStyle w:val="Heading2"/>
      </w:pPr>
      <w:bookmarkStart w:id="10" w:name="_Toc179457410"/>
      <w:r>
        <w:t>Lack of Dat</w:t>
      </w:r>
      <w:r w:rsidR="003A6DD8">
        <w:t>a</w:t>
      </w:r>
      <w:r w:rsidR="004E1BE2">
        <w:t xml:space="preserve"> on Adult </w:t>
      </w:r>
      <w:r w:rsidR="004E1BE2" w:rsidRPr="001F175A">
        <w:t>Guardianship</w:t>
      </w:r>
      <w:bookmarkEnd w:id="10"/>
    </w:p>
    <w:p w14:paraId="40230176" w14:textId="77777777" w:rsidR="00BF5852" w:rsidRDefault="00BD730D" w:rsidP="00292600">
      <w:r>
        <w:t xml:space="preserve">As with </w:t>
      </w:r>
      <w:r w:rsidR="000575B9">
        <w:t xml:space="preserve">many other areas of </w:t>
      </w:r>
      <w:r>
        <w:t>life, m</w:t>
      </w:r>
      <w:r w:rsidR="00621DDF">
        <w:t xml:space="preserve">aking informed decisions </w:t>
      </w:r>
      <w:r>
        <w:t xml:space="preserve">on policy </w:t>
      </w:r>
      <w:r w:rsidR="00621DDF">
        <w:t>requires</w:t>
      </w:r>
      <w:r w:rsidR="00292600">
        <w:t xml:space="preserve"> good information.  Policy-makers must have reliable data in order to identify issues with and make improvements to the system of guardianship.  Yet, there is no reliable or consistent source of data </w:t>
      </w:r>
      <w:r w:rsidR="00977178">
        <w:t>up</w:t>
      </w:r>
      <w:r w:rsidR="00292600">
        <w:t xml:space="preserve">on which to base </w:t>
      </w:r>
      <w:r w:rsidR="004E1BE2">
        <w:t xml:space="preserve">such policy </w:t>
      </w:r>
      <w:r w:rsidR="00292600">
        <w:t>decisions.  This lack of data i</w:t>
      </w:r>
      <w:r w:rsidR="00977178">
        <w:t>s</w:t>
      </w:r>
      <w:r w:rsidR="00292600">
        <w:t xml:space="preserve"> not confined to Maine, but exists nationwide.  In 2018, the United States Senate Special Committee on Aging issued a report identifying </w:t>
      </w:r>
      <w:r w:rsidR="001725D9">
        <w:t>the</w:t>
      </w:r>
      <w:r w:rsidR="00292600">
        <w:t xml:space="preserve"> need for better data as one of its key findings.  The Committee, at the time chaired by </w:t>
      </w:r>
      <w:r w:rsidR="00977178">
        <w:t xml:space="preserve">Maine </w:t>
      </w:r>
      <w:r w:rsidR="00292600">
        <w:t>Senator Susan Collins, stated:</w:t>
      </w:r>
    </w:p>
    <w:p w14:paraId="19FBDFDD" w14:textId="77777777" w:rsidR="00825D16" w:rsidRDefault="00292600" w:rsidP="00BF5852">
      <w:pPr>
        <w:ind w:left="720" w:right="720"/>
        <w:jc w:val="both"/>
      </w:pPr>
      <w:r>
        <w:t xml:space="preserve">There is general consensus </w:t>
      </w:r>
      <w:r w:rsidR="00BF5852">
        <w:t>a</w:t>
      </w:r>
      <w:r>
        <w:t xml:space="preserve">mong stakeholders and advocates that data on the </w:t>
      </w:r>
      <w:r>
        <w:lastRenderedPageBreak/>
        <w:t xml:space="preserve">guardianship system at both the state and national level are severely lacking. </w:t>
      </w:r>
      <w:r w:rsidR="00BF5852">
        <w:t xml:space="preserve"> </w:t>
      </w:r>
      <w:r>
        <w:t xml:space="preserve">While states have oversight over the guardianship system, most do not keep extensive records regarding guardianship. </w:t>
      </w:r>
      <w:r w:rsidR="00BF5852">
        <w:t xml:space="preserve"> </w:t>
      </w:r>
      <w:r>
        <w:t>Few states appear able to track the total number of individuals subject to guardianship, let alone record demographic information, the types of guardianship being utilized, or the extent of a guardian’s authority.</w:t>
      </w:r>
      <w:r w:rsidR="00BF5852">
        <w:t xml:space="preserve">  </w:t>
      </w:r>
      <w:r>
        <w:t>The lack of broad state and national data makes it very difficult to identify trends in guardianship, leaving advocates and policymakers in the dark when trying to enact reform</w:t>
      </w:r>
      <w:r w:rsidR="00BF5852">
        <w:t>.</w:t>
      </w:r>
      <w:r w:rsidR="002C1EF0">
        <w:rPr>
          <w:rStyle w:val="FootnoteReference"/>
        </w:rPr>
        <w:footnoteReference w:id="9"/>
      </w:r>
    </w:p>
    <w:p w14:paraId="6EC7EC83" w14:textId="77777777" w:rsidR="00734D09" w:rsidRDefault="00BB79FB" w:rsidP="002C1EF0">
      <w:r>
        <w:t>Maine</w:t>
      </w:r>
      <w:r w:rsidR="004E1BE2">
        <w:t>, like the rest of the country,</w:t>
      </w:r>
      <w:r>
        <w:t xml:space="preserve"> is lacking in guardianship data.</w:t>
      </w:r>
      <w:r w:rsidR="00F51C98">
        <w:t xml:space="preserve">  As noted above, the probate courts are independent courts run by each county, each with their own record-keeping procedures.  Many courts reported</w:t>
      </w:r>
      <w:r w:rsidR="00E754C0">
        <w:t>,</w:t>
      </w:r>
      <w:r w:rsidR="00F51C98">
        <w:t xml:space="preserve"> </w:t>
      </w:r>
      <w:r>
        <w:t>in</w:t>
      </w:r>
      <w:r w:rsidR="00F51C98">
        <w:t xml:space="preserve"> a survey conducted in 2023 by the Maine Monitor</w:t>
      </w:r>
      <w:r w:rsidR="00E754C0">
        <w:t>,</w:t>
      </w:r>
      <w:r w:rsidR="00F51C98">
        <w:t xml:space="preserve"> that they do not track the number of guardianships in their counties</w:t>
      </w:r>
      <w:r w:rsidR="004E1BE2">
        <w:t>,</w:t>
      </w:r>
      <w:r w:rsidR="001464E5">
        <w:t xml:space="preserve"> </w:t>
      </w:r>
      <w:r w:rsidR="004E1BE2">
        <w:t xml:space="preserve">and do not even have data on </w:t>
      </w:r>
      <w:r w:rsidR="001464E5">
        <w:t xml:space="preserve">whether individuals subject to guardianship are </w:t>
      </w:r>
      <w:r w:rsidR="00977178">
        <w:t xml:space="preserve">living or </w:t>
      </w:r>
      <w:r w:rsidR="001464E5">
        <w:t>deceased</w:t>
      </w:r>
      <w:r w:rsidR="00021FB6">
        <w:t>.</w:t>
      </w:r>
      <w:r>
        <w:rPr>
          <w:rStyle w:val="FootnoteReference"/>
        </w:rPr>
        <w:footnoteReference w:id="10"/>
      </w:r>
      <w:r w:rsidR="00021FB6">
        <w:t xml:space="preserve">  This is problematic</w:t>
      </w:r>
      <w:r w:rsidR="002D1909">
        <w:t>,</w:t>
      </w:r>
      <w:r w:rsidR="00021FB6">
        <w:t xml:space="preserve"> given that courts must oversee the guardianships they order, including annual reporting requirements of guardians.  In addition to not knowing the number of guardianships, </w:t>
      </w:r>
      <w:r w:rsidR="000575B9">
        <w:t xml:space="preserve">courts do not track </w:t>
      </w:r>
      <w:r w:rsidR="00021FB6">
        <w:t xml:space="preserve">the demographics of guardianship cases, such as age, race, socioeconomic status, </w:t>
      </w:r>
      <w:r w:rsidR="001464E5">
        <w:t xml:space="preserve">disability, </w:t>
      </w:r>
      <w:r w:rsidR="00021FB6">
        <w:t>and gender of people under guardianship.</w:t>
      </w:r>
      <w:r w:rsidR="00CD11E9" w:rsidRPr="00CD11E9">
        <w:t xml:space="preserve"> </w:t>
      </w:r>
      <w:r w:rsidR="00CD11E9">
        <w:t xml:space="preserve"> </w:t>
      </w:r>
      <w:r w:rsidR="000575B9">
        <w:t>Because of this lack of data, p</w:t>
      </w:r>
      <w:r w:rsidR="000575B9" w:rsidRPr="00CD11E9">
        <w:t>olicy</w:t>
      </w:r>
      <w:r w:rsidR="00CD11E9" w:rsidRPr="00CD11E9">
        <w:t xml:space="preserve">-making regarding guardianship </w:t>
      </w:r>
      <w:r w:rsidR="000575B9">
        <w:t>has been</w:t>
      </w:r>
      <w:r w:rsidR="000575B9" w:rsidRPr="00CD11E9">
        <w:t xml:space="preserve"> </w:t>
      </w:r>
      <w:r w:rsidR="00CD11E9" w:rsidRPr="00CD11E9">
        <w:t>largely based on anecdotal data that may or may not be indicative of larger, systemic issues.</w:t>
      </w:r>
    </w:p>
    <w:p w14:paraId="06C94585" w14:textId="34DBF90F" w:rsidR="002D1909" w:rsidRDefault="002D1909" w:rsidP="002C1EF0">
      <w:r>
        <w:t>One of the best sources of data on guardianship is the National Core Indicators</w:t>
      </w:r>
      <w:r w:rsidR="007F2C06">
        <w:t xml:space="preserve"> (NCI)</w:t>
      </w:r>
      <w:r>
        <w:t>, but even this has significant limitations.</w:t>
      </w:r>
      <w:r w:rsidR="007F2C06">
        <w:t xml:space="preserve">  The primary purpose of NCI is to </w:t>
      </w:r>
      <w:r w:rsidR="00CF6CF2">
        <w:t xml:space="preserve">utilize </w:t>
      </w:r>
      <w:r w:rsidR="007F2C06">
        <w:t xml:space="preserve">a standard set of performance and outcome measures </w:t>
      </w:r>
      <w:r w:rsidR="00FA34A9">
        <w:t xml:space="preserve">to gather information about </w:t>
      </w:r>
      <w:r w:rsidR="001E5F00">
        <w:t xml:space="preserve">services delivered to people with </w:t>
      </w:r>
      <w:r w:rsidR="00CF6CF2">
        <w:t>developmental disabilit</w:t>
      </w:r>
      <w:r w:rsidR="001E5F00">
        <w:t>ies</w:t>
      </w:r>
      <w:r w:rsidR="007F2C06">
        <w:t>.  Th</w:t>
      </w:r>
      <w:r w:rsidR="009E3B79">
        <w:t>e data is collected</w:t>
      </w:r>
      <w:r w:rsidR="007F2C06">
        <w:t xml:space="preserve"> via surveys that states administer</w:t>
      </w:r>
      <w:r w:rsidR="00FA34A9">
        <w:t>; the data is then made available on</w:t>
      </w:r>
      <w:r w:rsidR="0025210E">
        <w:t xml:space="preserve"> </w:t>
      </w:r>
      <w:r w:rsidR="007F2C06">
        <w:t xml:space="preserve">the </w:t>
      </w:r>
      <w:r w:rsidR="00FA34A9">
        <w:t xml:space="preserve">NCI </w:t>
      </w:r>
      <w:r w:rsidR="007F2C06">
        <w:t>website</w:t>
      </w:r>
      <w:r w:rsidR="00FA34A9">
        <w:t xml:space="preserve"> an</w:t>
      </w:r>
      <w:r w:rsidR="00E8515E">
        <w:t>d is searchable by</w:t>
      </w:r>
      <w:r w:rsidR="007F2C06">
        <w:t xml:space="preserve"> metrics such </w:t>
      </w:r>
      <w:r w:rsidR="00E8515E">
        <w:t xml:space="preserve">as </w:t>
      </w:r>
      <w:r w:rsidR="007F2C06">
        <w:t xml:space="preserve">gender, race/ethnicity, age, diagnosis, guardianship status, etc.  </w:t>
      </w:r>
      <w:r w:rsidR="00232D75">
        <w:t>NCI reports that</w:t>
      </w:r>
      <w:r w:rsidR="00E8515E">
        <w:t xml:space="preserve"> in Maine</w:t>
      </w:r>
      <w:r w:rsidR="00232D75">
        <w:t xml:space="preserve">, </w:t>
      </w:r>
      <w:r w:rsidR="00E8515E">
        <w:t xml:space="preserve">in </w:t>
      </w:r>
      <w:r w:rsidR="00232D75">
        <w:t xml:space="preserve">2018-2019, 60% of individuals with a developmental disability who receive some </w:t>
      </w:r>
      <w:r w:rsidR="00E8515E">
        <w:t xml:space="preserve">state </w:t>
      </w:r>
      <w:r w:rsidR="00232D75">
        <w:t>service</w:t>
      </w:r>
      <w:r w:rsidR="00E8515E">
        <w:t xml:space="preserve"> </w:t>
      </w:r>
      <w:r w:rsidR="00232D75">
        <w:t>are under full guardianship</w:t>
      </w:r>
      <w:r w:rsidR="001E5F00">
        <w:t>.  T</w:t>
      </w:r>
      <w:r w:rsidR="00E8515E">
        <w:t xml:space="preserve">his is double the </w:t>
      </w:r>
      <w:r w:rsidR="00232D75">
        <w:t>national rate of 30%.</w:t>
      </w:r>
      <w:r w:rsidR="00232D75">
        <w:rPr>
          <w:rStyle w:val="FootnoteReference"/>
        </w:rPr>
        <w:footnoteReference w:id="11"/>
      </w:r>
      <w:r w:rsidR="00734D09">
        <w:t xml:space="preserve">  </w:t>
      </w:r>
      <w:r w:rsidR="00E8515E">
        <w:t>However</w:t>
      </w:r>
      <w:r w:rsidR="00734D09">
        <w:t xml:space="preserve">, this data does not give a complete picture.  </w:t>
      </w:r>
      <w:r w:rsidR="0025210E">
        <w:t>Because NCI administers, through the participating states,</w:t>
      </w:r>
      <w:r w:rsidR="00734D09">
        <w:t xml:space="preserve"> surveys </w:t>
      </w:r>
      <w:r w:rsidR="00E8515E">
        <w:t>only</w:t>
      </w:r>
      <w:r w:rsidR="00734D09">
        <w:t xml:space="preserve"> </w:t>
      </w:r>
      <w:r w:rsidR="00A71F77">
        <w:t xml:space="preserve">to </w:t>
      </w:r>
      <w:r w:rsidR="00734D09">
        <w:t>adults with developmental disabilities (and/or their families</w:t>
      </w:r>
      <w:r w:rsidR="00343C32">
        <w:t xml:space="preserve"> or providers</w:t>
      </w:r>
      <w:r w:rsidR="00734D09">
        <w:t>) who receive at least one paid state service</w:t>
      </w:r>
      <w:r w:rsidR="0025210E">
        <w:t xml:space="preserve">, it leaves out large </w:t>
      </w:r>
      <w:r w:rsidR="00471650">
        <w:t>sections</w:t>
      </w:r>
      <w:r w:rsidR="0025210E">
        <w:t xml:space="preserve"> of the population overall, including individuals with conditions other than developmental disabilities, people with developmental disabilities who don’t receive state services, and any individual residing in a state that does not participate in NCI surveys.</w:t>
      </w:r>
      <w:r w:rsidR="00343C32">
        <w:t xml:space="preserve">  In Maine in 201</w:t>
      </w:r>
      <w:r w:rsidR="00E4725E">
        <w:t>8</w:t>
      </w:r>
      <w:r w:rsidR="00343C32">
        <w:t>-201</w:t>
      </w:r>
      <w:r w:rsidR="00E4725E">
        <w:t>9</w:t>
      </w:r>
      <w:r w:rsidR="00343C32">
        <w:t xml:space="preserve"> (the most recent </w:t>
      </w:r>
      <w:r w:rsidR="00E4725E">
        <w:t>report</w:t>
      </w:r>
      <w:r w:rsidR="00343C32">
        <w:t xml:space="preserve"> for which data is available), </w:t>
      </w:r>
      <w:r w:rsidR="00E4725E">
        <w:t xml:space="preserve">this </w:t>
      </w:r>
      <w:r w:rsidR="00E4725E">
        <w:lastRenderedPageBreak/>
        <w:t xml:space="preserve">percentage was based on </w:t>
      </w:r>
      <w:r w:rsidR="00343C32">
        <w:t>39</w:t>
      </w:r>
      <w:r w:rsidR="00E4725E">
        <w:t>9</w:t>
      </w:r>
      <w:r w:rsidR="00343C32">
        <w:t xml:space="preserve"> surveys</w:t>
      </w:r>
      <w:r w:rsidR="00E4725E">
        <w:rPr>
          <w:rStyle w:val="FootnoteReference"/>
        </w:rPr>
        <w:footnoteReference w:id="12"/>
      </w:r>
      <w:r w:rsidR="00343C32">
        <w:t xml:space="preserve"> out of approximately </w:t>
      </w:r>
      <w:r w:rsidR="00FF2422">
        <w:t>7</w:t>
      </w:r>
      <w:r w:rsidR="009E3B79">
        <w:t>,</w:t>
      </w:r>
      <w:r w:rsidR="00FF2422">
        <w:t>434</w:t>
      </w:r>
      <w:r w:rsidR="00343C32">
        <w:t xml:space="preserve"> individuals</w:t>
      </w:r>
      <w:r w:rsidR="009E3B79">
        <w:rPr>
          <w:rStyle w:val="FootnoteReference"/>
        </w:rPr>
        <w:footnoteReference w:id="13"/>
      </w:r>
      <w:r w:rsidR="00343C32">
        <w:t xml:space="preserve"> with developmental disabilities who </w:t>
      </w:r>
      <w:r w:rsidR="009E3B79">
        <w:t xml:space="preserve">were </w:t>
      </w:r>
      <w:r w:rsidR="00343C32">
        <w:t>receiv</w:t>
      </w:r>
      <w:r w:rsidR="009E3B79">
        <w:t>ing</w:t>
      </w:r>
      <w:r w:rsidR="00343C32">
        <w:t xml:space="preserve"> state services</w:t>
      </w:r>
      <w:r w:rsidR="00E4725E">
        <w:t xml:space="preserve"> during that time</w:t>
      </w:r>
      <w:r w:rsidR="00343C32">
        <w:t>.</w:t>
      </w:r>
      <w:r w:rsidR="00E0006B">
        <w:t xml:space="preserve">  While useful, NCI data is</w:t>
      </w:r>
      <w:r w:rsidR="001725D9">
        <w:t xml:space="preserve"> extremely</w:t>
      </w:r>
      <w:r w:rsidR="00E0006B">
        <w:t xml:space="preserve"> limited in scope, particularly with regard to adult guardianship.  It tracks whether a guardianship exists</w:t>
      </w:r>
      <w:r w:rsidR="00E4725E">
        <w:t xml:space="preserve"> for a small percentage of people</w:t>
      </w:r>
      <w:r w:rsidR="00E0006B">
        <w:t>, and whether it is a full guardianship or limited guardianship</w:t>
      </w:r>
      <w:r w:rsidR="00E4725E">
        <w:t>.  This limited data shows the rates at which 399 people with developmental disabilities receiving state services are subject to guardianship.  It does not show the circumstances that the guardianship came to be or the demographics of the individuals subject to guardianship.  The data does not provide a robust picture of guardianship in Maine (nor was it intended to).</w:t>
      </w:r>
    </w:p>
    <w:p w14:paraId="727CB064" w14:textId="77777777" w:rsidR="00CD11E9" w:rsidRDefault="00021FB6" w:rsidP="002C1EF0">
      <w:r>
        <w:t xml:space="preserve">Against </w:t>
      </w:r>
      <w:r w:rsidR="00E754C0">
        <w:t xml:space="preserve">this </w:t>
      </w:r>
      <w:r>
        <w:t xml:space="preserve">backdrop, Disability Rights Maine endeavored to collect data in order to better understand guardianship and how it functions in courts.  DRM </w:t>
      </w:r>
      <w:r w:rsidR="00126B45">
        <w:t xml:space="preserve">sought to collect information on how many adult guardianships were requested in a given year, the rate at which Respondents had legal representation, the rate at which guardianships were granted (and how many were full versus limited guardianships), the ages of Respondents, and </w:t>
      </w:r>
      <w:r w:rsidR="00967803">
        <w:t xml:space="preserve">the </w:t>
      </w:r>
      <w:r w:rsidR="00126B45">
        <w:t>reasons for which guardianship was sought.</w:t>
      </w:r>
      <w:r>
        <w:t xml:space="preserve">  </w:t>
      </w:r>
      <w:r w:rsidR="00CD11E9">
        <w:t>DRM was particularly interested in how the presence or absence of an attorney for the Respondent correlated with guardianships being ordered.</w:t>
      </w:r>
    </w:p>
    <w:p w14:paraId="3487EB8F" w14:textId="3A5D6A5A" w:rsidR="00021FB6" w:rsidRDefault="001464E5" w:rsidP="002C1EF0">
      <w:r>
        <w:t>Our h</w:t>
      </w:r>
      <w:r w:rsidR="00021FB6">
        <w:t xml:space="preserve">ope </w:t>
      </w:r>
      <w:r>
        <w:t xml:space="preserve">is </w:t>
      </w:r>
      <w:r w:rsidR="007E3993">
        <w:t>for</w:t>
      </w:r>
      <w:r>
        <w:t xml:space="preserve"> this</w:t>
      </w:r>
      <w:r w:rsidR="00021FB6">
        <w:t xml:space="preserve"> report </w:t>
      </w:r>
      <w:r>
        <w:t xml:space="preserve">to </w:t>
      </w:r>
      <w:r w:rsidR="00021FB6">
        <w:t xml:space="preserve">serve </w:t>
      </w:r>
      <w:r w:rsidR="00DB65E3">
        <w:t xml:space="preserve">as </w:t>
      </w:r>
      <w:r w:rsidR="00021FB6">
        <w:t xml:space="preserve">a starting point to uncover areas in which </w:t>
      </w:r>
      <w:r w:rsidR="00464786">
        <w:t xml:space="preserve">further </w:t>
      </w:r>
      <w:r w:rsidR="00021FB6">
        <w:t>data collection will be helpful, and to</w:t>
      </w:r>
      <w:r w:rsidR="00365EBE">
        <w:t xml:space="preserve"> inform the public, policy-makers, and other stakeholders so that policy can be improved.</w:t>
      </w:r>
    </w:p>
    <w:p w14:paraId="5D6490E8" w14:textId="77777777" w:rsidR="00626540" w:rsidRPr="006B7EDE" w:rsidRDefault="0007757B" w:rsidP="001B546C">
      <w:pPr>
        <w:pStyle w:val="Heading1"/>
      </w:pPr>
      <w:bookmarkStart w:id="11" w:name="_Toc179457411"/>
      <w:r>
        <w:t>Data Collection</w:t>
      </w:r>
      <w:r w:rsidR="000D5DD9">
        <w:t xml:space="preserve"> Method</w:t>
      </w:r>
      <w:bookmarkEnd w:id="11"/>
    </w:p>
    <w:p w14:paraId="76180AD1" w14:textId="10FE401C" w:rsidR="00BE3815" w:rsidRDefault="00D572C7" w:rsidP="00846811">
      <w:r>
        <w:t xml:space="preserve">Disability Rights Maine collected information for every </w:t>
      </w:r>
      <w:r w:rsidR="001E181B">
        <w:t xml:space="preserve">adult guardianship </w:t>
      </w:r>
      <w:r>
        <w:t xml:space="preserve">case </w:t>
      </w:r>
      <w:r w:rsidR="001E181B">
        <w:t xml:space="preserve">that was initiated in the state of Maine </w:t>
      </w:r>
      <w:r>
        <w:t>in the years 2019, 2020, and 2021.</w:t>
      </w:r>
      <w:r w:rsidR="00A22275">
        <w:t xml:space="preserve">  Overall, we collected information on 2,334 </w:t>
      </w:r>
      <w:r w:rsidR="00BB332C">
        <w:t xml:space="preserve">guardianship </w:t>
      </w:r>
      <w:r w:rsidR="00A22275">
        <w:t>cases.</w:t>
      </w:r>
      <w:r>
        <w:t xml:space="preserve">  </w:t>
      </w:r>
      <w:r w:rsidR="00365EBE">
        <w:t>D</w:t>
      </w:r>
      <w:r>
        <w:t>RM accomplished this by</w:t>
      </w:r>
      <w:r w:rsidR="00365EBE">
        <w:t xml:space="preserve"> using the probate courts’ online web portal at </w:t>
      </w:r>
      <w:hyperlink r:id="rId11" w:history="1">
        <w:r w:rsidR="00365EBE" w:rsidRPr="00D209AC">
          <w:rPr>
            <w:rStyle w:val="Hyperlink"/>
          </w:rPr>
          <w:t>www.maineprobate.net</w:t>
        </w:r>
      </w:hyperlink>
      <w:r w:rsidR="00365EBE">
        <w:t xml:space="preserve">.  The </w:t>
      </w:r>
      <w:r w:rsidR="001E181B">
        <w:t>web portal</w:t>
      </w:r>
      <w:r w:rsidR="00365EBE">
        <w:t xml:space="preserve"> allows the pub</w:t>
      </w:r>
      <w:r w:rsidR="00F87FFA">
        <w:t>l</w:t>
      </w:r>
      <w:r w:rsidR="00365EBE">
        <w:t xml:space="preserve">ic to access all probate court cases, including full dockets </w:t>
      </w:r>
      <w:r w:rsidR="007A04FA">
        <w:t>as well as</w:t>
      </w:r>
      <w:r w:rsidR="00365EBE">
        <w:t xml:space="preserve"> images of m</w:t>
      </w:r>
      <w:r w:rsidR="00F87FFA">
        <w:t>any</w:t>
      </w:r>
      <w:r w:rsidR="00365EBE">
        <w:t xml:space="preserve"> court filings.  </w:t>
      </w:r>
      <w:r w:rsidR="000D5DD9">
        <w:t>Every court case is assigned a docket number</w:t>
      </w:r>
      <w:r w:rsidR="00365EBE">
        <w:t xml:space="preserve"> </w:t>
      </w:r>
      <w:r w:rsidR="00BE3815">
        <w:t>that begins</w:t>
      </w:r>
      <w:r w:rsidR="00365EBE">
        <w:t xml:space="preserve"> with the year the case originated in that court.  For example, if a petition to appoint a guardian is filed in a probate court in 2019, it will be assigned a docket number beginning with “2019-” followed by a four-digit number to identify the specific case.  </w:t>
      </w:r>
      <w:r w:rsidR="00BE3815">
        <w:t xml:space="preserve">If a case was transferred from </w:t>
      </w:r>
      <w:r w:rsidR="000D5DD9">
        <w:t>a</w:t>
      </w:r>
      <w:r w:rsidR="00BE3815">
        <w:t xml:space="preserve"> probate court in another county,</w:t>
      </w:r>
      <w:r w:rsidR="000D5DD9">
        <w:t xml:space="preserve"> as sometimes occurs when people move,</w:t>
      </w:r>
      <w:r w:rsidR="00BE3815">
        <w:t xml:space="preserve"> the receiving court will assign the case a new docket number, beginning with the year the case was transferred.</w:t>
      </w:r>
    </w:p>
    <w:p w14:paraId="1363DB68" w14:textId="2ECFF4F6" w:rsidR="00365EBE" w:rsidRDefault="00365EBE" w:rsidP="00846811">
      <w:r>
        <w:t xml:space="preserve">Using the search function on </w:t>
      </w:r>
      <w:hyperlink r:id="rId12" w:history="1">
        <w:r w:rsidR="00BE3815" w:rsidRPr="009A473B">
          <w:rPr>
            <w:rStyle w:val="Hyperlink"/>
          </w:rPr>
          <w:t>www.maineprobate.net</w:t>
        </w:r>
      </w:hyperlink>
      <w:r>
        <w:t xml:space="preserve">, </w:t>
      </w:r>
      <w:r w:rsidR="00464786">
        <w:t xml:space="preserve">DRM </w:t>
      </w:r>
      <w:r>
        <w:t xml:space="preserve">searched “2019-” and used the filter </w:t>
      </w:r>
      <w:r>
        <w:lastRenderedPageBreak/>
        <w:t>for “Guardian/conservator” to bring up a l</w:t>
      </w:r>
      <w:r w:rsidR="00B9205C">
        <w:t>i</w:t>
      </w:r>
      <w:r>
        <w:t xml:space="preserve">st of all guardianship and conservator cases that originated in 2019.  We looked </w:t>
      </w:r>
      <w:r w:rsidR="00464786">
        <w:t xml:space="preserve">only </w:t>
      </w:r>
      <w:r>
        <w:t xml:space="preserve">at </w:t>
      </w:r>
      <w:r w:rsidR="00B9205C">
        <w:t xml:space="preserve">adult guardianship </w:t>
      </w:r>
      <w:r>
        <w:t>cases</w:t>
      </w:r>
      <w:r w:rsidR="00AF7311">
        <w:t xml:space="preserve"> and exclud</w:t>
      </w:r>
      <w:r w:rsidR="00B9205C">
        <w:t>ed</w:t>
      </w:r>
      <w:r w:rsidR="00AF7311">
        <w:t xml:space="preserve"> all cases involving guardianship of minors or solely conservatorships.  We also disregarded cases that had originated in earlier years but had been given a “2019-” docket</w:t>
      </w:r>
      <w:r w:rsidR="00A22275">
        <w:t xml:space="preserve"> number</w:t>
      </w:r>
      <w:r w:rsidR="00AF7311">
        <w:t xml:space="preserve"> because they had been transferred from another county.  Thus, the scope of the data collected was every</w:t>
      </w:r>
      <w:r w:rsidR="00E57C6C">
        <w:t xml:space="preserve"> </w:t>
      </w:r>
      <w:r w:rsidR="00D572C7">
        <w:t xml:space="preserve">new </w:t>
      </w:r>
      <w:r w:rsidR="00AF7311">
        <w:t>adult guardianship case in 2019, 2020, and 2021 for every county in Maine.</w:t>
      </w:r>
    </w:p>
    <w:p w14:paraId="78E4D269" w14:textId="30C89A82" w:rsidR="00AF7311" w:rsidRDefault="00AF7311" w:rsidP="00FD52B5">
      <w:r>
        <w:t xml:space="preserve">Once the scope </w:t>
      </w:r>
      <w:r w:rsidR="00A22275">
        <w:t xml:space="preserve">of the study </w:t>
      </w:r>
      <w:r>
        <w:t>was identified, information from every case was collected</w:t>
      </w:r>
      <w:r w:rsidR="00B9205C">
        <w:t xml:space="preserve"> by viewing court filings.</w:t>
      </w:r>
      <w:r>
        <w:t xml:space="preserve">  The information collected included the birth year of the Respondent, whether the Respondent had an attorney, whether the Respondent attended the hearing, whether a guardianship was ordered</w:t>
      </w:r>
      <w:r w:rsidR="001E181B">
        <w:t xml:space="preserve"> (and, if so</w:t>
      </w:r>
      <w:r>
        <w:t xml:space="preserve">, whether </w:t>
      </w:r>
      <w:r w:rsidR="001E181B">
        <w:t>it</w:t>
      </w:r>
      <w:r>
        <w:t xml:space="preserve"> was full or limited, </w:t>
      </w:r>
      <w:r w:rsidR="001E181B">
        <w:t xml:space="preserve">and </w:t>
      </w:r>
      <w:r>
        <w:t xml:space="preserve">whether </w:t>
      </w:r>
      <w:r w:rsidR="001E181B">
        <w:t>the guardian</w:t>
      </w:r>
      <w:r>
        <w:t xml:space="preserve"> was private or public</w:t>
      </w:r>
      <w:r w:rsidR="001E181B">
        <w:t>)</w:t>
      </w:r>
      <w:r>
        <w:t>, whether the Respondent was identified as having a developmental disability,</w:t>
      </w:r>
      <w:r w:rsidR="00872E2A">
        <w:rPr>
          <w:rStyle w:val="FootnoteReference"/>
        </w:rPr>
        <w:footnoteReference w:id="14"/>
      </w:r>
      <w:r>
        <w:t xml:space="preserve"> and the identified basis for guardianship.</w:t>
      </w:r>
    </w:p>
    <w:p w14:paraId="7D68F7BB" w14:textId="77777777" w:rsidR="00D572C7" w:rsidRDefault="00D572C7" w:rsidP="00017521">
      <w:pPr>
        <w:pStyle w:val="Heading2"/>
      </w:pPr>
      <w:bookmarkStart w:id="12" w:name="_Toc179457412"/>
      <w:r>
        <w:t>Significan</w:t>
      </w:r>
      <w:r w:rsidR="00762F73">
        <w:t>ce</w:t>
      </w:r>
      <w:r>
        <w:t xml:space="preserve"> of </w:t>
      </w:r>
      <w:r w:rsidRPr="00FD52B5">
        <w:t>Years</w:t>
      </w:r>
      <w:r>
        <w:t xml:space="preserve"> </w:t>
      </w:r>
      <w:r w:rsidRPr="00FD52B5">
        <w:t>Studied</w:t>
      </w:r>
      <w:bookmarkEnd w:id="12"/>
    </w:p>
    <w:p w14:paraId="3EF4CF39" w14:textId="1693B4CD" w:rsidR="008030B9" w:rsidRDefault="00D572C7" w:rsidP="00846811">
      <w:r>
        <w:t>There is</w:t>
      </w:r>
      <w:r w:rsidR="00967803">
        <w:t xml:space="preserve"> </w:t>
      </w:r>
      <w:r>
        <w:t xml:space="preserve">significance to the years selected by DRM for data collection.  </w:t>
      </w:r>
      <w:r w:rsidR="000D1D7D">
        <w:t>DRM</w:t>
      </w:r>
      <w:r>
        <w:t xml:space="preserve"> select</w:t>
      </w:r>
      <w:r w:rsidR="000D1D7D">
        <w:t>ed</w:t>
      </w:r>
      <w:r>
        <w:t xml:space="preserve"> years that were recent, but </w:t>
      </w:r>
      <w:r w:rsidR="00B31DA1">
        <w:t xml:space="preserve">far enough past </w:t>
      </w:r>
      <w:r w:rsidR="000D1D7D">
        <w:t>that the cases were</w:t>
      </w:r>
      <w:r w:rsidR="00B31DA1">
        <w:t xml:space="preserve"> likely</w:t>
      </w:r>
      <w:r>
        <w:t xml:space="preserve"> </w:t>
      </w:r>
      <w:r w:rsidR="00B31DA1">
        <w:t>resolved</w:t>
      </w:r>
      <w:r w:rsidR="00461265">
        <w:t xml:space="preserve"> with a final court order.</w:t>
      </w:r>
      <w:r w:rsidR="00B31DA1">
        <w:t xml:space="preserve">  </w:t>
      </w:r>
      <w:bookmarkStart w:id="13" w:name="_Hlk178346907"/>
      <w:r w:rsidR="005261CA">
        <w:t>As noted above, 2019</w:t>
      </w:r>
      <w:r w:rsidR="00461265">
        <w:t xml:space="preserve"> is significant because in September</w:t>
      </w:r>
      <w:r>
        <w:t xml:space="preserve">, Maine’s entire Probate Code, including </w:t>
      </w:r>
      <w:r w:rsidR="00007B46">
        <w:t>that pertaining to</w:t>
      </w:r>
      <w:r>
        <w:t xml:space="preserve"> adult guardianship, was repealed and replaced.</w:t>
      </w:r>
      <w:r w:rsidR="005261CA">
        <w:t xml:space="preserve">  </w:t>
      </w:r>
      <w:r w:rsidR="008030B9">
        <w:t>DRM was interested in whether the updated law had an effect on the rates of</w:t>
      </w:r>
      <w:r w:rsidR="00303F53">
        <w:t xml:space="preserve"> representation by attorneys, and rates at which</w:t>
      </w:r>
      <w:r w:rsidR="008030B9">
        <w:t xml:space="preserve"> full guardianship</w:t>
      </w:r>
      <w:r w:rsidR="00303F53">
        <w:t>s were ordered</w:t>
      </w:r>
      <w:r w:rsidR="008030B9">
        <w:t xml:space="preserve"> in the years immediately following the promulgation of the new Probate Code.  It is also worth noting that mere months after the Probate Code went into effect,</w:t>
      </w:r>
      <w:r w:rsidR="005261CA">
        <w:t xml:space="preserve"> in March of 2020,</w:t>
      </w:r>
      <w:r w:rsidR="008030B9">
        <w:t xml:space="preserve"> the Covid-19 pandemic caused </w:t>
      </w:r>
      <w:r w:rsidR="00BB332C">
        <w:t>enormous</w:t>
      </w:r>
      <w:r w:rsidR="008030B9">
        <w:t xml:space="preserve"> disruptions </w:t>
      </w:r>
      <w:r w:rsidR="00BB332C">
        <w:t>across</w:t>
      </w:r>
      <w:r w:rsidR="008030B9">
        <w:t xml:space="preserve"> the </w:t>
      </w:r>
      <w:r w:rsidR="00BB332C">
        <w:t>globe</w:t>
      </w:r>
      <w:r w:rsidR="008030B9">
        <w:t xml:space="preserve">, including </w:t>
      </w:r>
      <w:r w:rsidR="00BB332C">
        <w:t xml:space="preserve">to </w:t>
      </w:r>
      <w:r w:rsidR="008030B9">
        <w:t>legal systems.  It may be impossible to draw apart the effects of the new Probate Code from the effects of the pandemic, but it is important to keep in mind while looking at the data.</w:t>
      </w:r>
    </w:p>
    <w:p w14:paraId="50BE9526" w14:textId="77777777" w:rsidR="005077BE" w:rsidRDefault="005077BE" w:rsidP="00017521">
      <w:pPr>
        <w:pStyle w:val="Heading2"/>
      </w:pPr>
      <w:bookmarkStart w:id="14" w:name="_Toc179457413"/>
      <w:bookmarkEnd w:id="13"/>
      <w:r>
        <w:t>Focus on Individuals with Developmental Disabilities</w:t>
      </w:r>
      <w:bookmarkEnd w:id="14"/>
    </w:p>
    <w:p w14:paraId="3A6CABAC" w14:textId="3D46F9EF" w:rsidR="00DB65E3" w:rsidRDefault="001668EC" w:rsidP="00846811">
      <w:r>
        <w:t>T</w:t>
      </w:r>
      <w:r w:rsidR="005077BE">
        <w:t>his report analy</w:t>
      </w:r>
      <w:r>
        <w:t>zes</w:t>
      </w:r>
      <w:r w:rsidR="005077BE">
        <w:t xml:space="preserve"> all </w:t>
      </w:r>
      <w:r>
        <w:t xml:space="preserve">adult guardianship </w:t>
      </w:r>
      <w:r w:rsidR="005077BE">
        <w:t xml:space="preserve">cases, regardless of the reason that the guardianship was sought.  However, as part of its data collection, DRM tracked whether petitions for guardianship identified the Respondent as a person with a developmental disability in order to compare those cases with cases overall.  There are a number of reasons why we focused on this subset.  First, as noted above, the National Core Indicators, the most robust source </w:t>
      </w:r>
      <w:r w:rsidR="006113EB">
        <w:t>o</w:t>
      </w:r>
      <w:r w:rsidR="005077BE">
        <w:t xml:space="preserve">f information on guardianship, is limited to individuals with developmental disabilities.  By also carving out this subset, </w:t>
      </w:r>
      <w:r w:rsidR="00BB332C">
        <w:t>DRM’s</w:t>
      </w:r>
      <w:r w:rsidR="005077BE">
        <w:t xml:space="preserve"> data may supplement existing </w:t>
      </w:r>
      <w:r w:rsidR="00303F53">
        <w:t xml:space="preserve">NCI </w:t>
      </w:r>
      <w:r w:rsidR="005077BE">
        <w:t>data</w:t>
      </w:r>
      <w:r w:rsidR="003831AB">
        <w:t xml:space="preserve">.  Additionally, people with </w:t>
      </w:r>
      <w:r w:rsidR="003831AB">
        <w:lastRenderedPageBreak/>
        <w:t>developmental disabilities have been found to be at higher risk of coming under guardianship than other adults.</w:t>
      </w:r>
      <w:r w:rsidR="003831AB">
        <w:rPr>
          <w:rStyle w:val="FootnoteReference"/>
        </w:rPr>
        <w:footnoteReference w:id="15"/>
      </w:r>
    </w:p>
    <w:p w14:paraId="7602A94B" w14:textId="1BD3C4B7" w:rsidR="00B65F61" w:rsidRDefault="003831AB" w:rsidP="00846811">
      <w:r>
        <w:t xml:space="preserve">The National Council on Disability, an independent federal agency that advises on national disability policy, reported that </w:t>
      </w:r>
      <w:r w:rsidR="00B65F61">
        <w:t>this increased risk is due to “</w:t>
      </w:r>
      <w:r w:rsidR="00B65F61" w:rsidRPr="00B65F61">
        <w:t>widely</w:t>
      </w:r>
      <w:r w:rsidR="00B65F61">
        <w:t xml:space="preserve"> </w:t>
      </w:r>
      <w:r w:rsidR="00B65F61" w:rsidRPr="00B65F61">
        <w:t xml:space="preserve">held stereotypes about </w:t>
      </w:r>
      <w:r w:rsidR="00BD7919">
        <w:t xml:space="preserve">[the] </w:t>
      </w:r>
      <w:r w:rsidR="00B65F61" w:rsidRPr="00B65F61">
        <w:t>ability</w:t>
      </w:r>
      <w:r w:rsidR="00BD7919">
        <w:t xml:space="preserve"> [of people with developmental disabilities]</w:t>
      </w:r>
      <w:r w:rsidR="00B65F61" w:rsidRPr="00B65F61">
        <w:t xml:space="preserve"> to make decisions and function as adults</w:t>
      </w:r>
      <w:r w:rsidR="00B65F61">
        <w:t xml:space="preserve">,” </w:t>
      </w:r>
      <w:r w:rsidR="001668EC">
        <w:t xml:space="preserve">as well as the existence of </w:t>
      </w:r>
      <w:r w:rsidR="00B65F61">
        <w:t>the school-to-guardianship pipeline</w:t>
      </w:r>
      <w:r w:rsidR="006A4525">
        <w:t>, with “schools actively encouraging guardianship to the exclusion of less-restrictive alternatives, and not providing families and students in special education with sufficient information about the availability of a full continuum of decisionmaking supports</w:t>
      </w:r>
      <w:r w:rsidR="00B65F61">
        <w:t>.</w:t>
      </w:r>
      <w:r w:rsidR="006A4525">
        <w:t>”</w:t>
      </w:r>
      <w:r w:rsidR="00B65F61">
        <w:rPr>
          <w:rStyle w:val="FootnoteReference"/>
        </w:rPr>
        <w:footnoteReference w:id="16"/>
      </w:r>
    </w:p>
    <w:p w14:paraId="5F258AD8" w14:textId="77777777" w:rsidR="00B65F61" w:rsidRDefault="00B65F61" w:rsidP="00846811">
      <w:r>
        <w:t>For these reasons, DRM’s data analysis included a focus on guardianship of individuals with developmental disabilities, in addition to its data collection on adult guardianship in general.</w:t>
      </w:r>
    </w:p>
    <w:p w14:paraId="3E4C7030" w14:textId="77777777" w:rsidR="00BA7467" w:rsidRDefault="006F78A8" w:rsidP="001B546C">
      <w:pPr>
        <w:pStyle w:val="Heading1"/>
      </w:pPr>
      <w:bookmarkStart w:id="15" w:name="_Toc179457414"/>
      <w:r>
        <w:t>Key Findings</w:t>
      </w:r>
      <w:bookmarkEnd w:id="15"/>
    </w:p>
    <w:p w14:paraId="1578B49C" w14:textId="77777777" w:rsidR="00D773D8" w:rsidRDefault="00CC7D67" w:rsidP="00CC7D67">
      <w:bookmarkStart w:id="16" w:name="_Hlk174199949"/>
      <w:r>
        <w:t xml:space="preserve">In 2019, </w:t>
      </w:r>
      <w:r w:rsidRPr="006F78A8">
        <w:rPr>
          <w:b/>
        </w:rPr>
        <w:t>817 petitions</w:t>
      </w:r>
      <w:r>
        <w:t xml:space="preserve"> for the appointment of a guardian of an adult were filed.</w:t>
      </w:r>
      <w:r w:rsidR="007750FB">
        <w:t xml:space="preserve">  </w:t>
      </w:r>
      <w:r>
        <w:t xml:space="preserve">In 2020, </w:t>
      </w:r>
      <w:r>
        <w:rPr>
          <w:b/>
        </w:rPr>
        <w:t>668 petitions</w:t>
      </w:r>
      <w:r>
        <w:t xml:space="preserve"> were filed.</w:t>
      </w:r>
      <w:r w:rsidR="007750FB">
        <w:t xml:space="preserve">  </w:t>
      </w:r>
      <w:r>
        <w:t xml:space="preserve">In 2021, </w:t>
      </w:r>
      <w:r>
        <w:rPr>
          <w:b/>
        </w:rPr>
        <w:t>849 petitions</w:t>
      </w:r>
      <w:r>
        <w:t xml:space="preserve"> were filed.</w:t>
      </w:r>
    </w:p>
    <w:p w14:paraId="52B58FF9" w14:textId="77777777" w:rsidR="004C6B77" w:rsidRPr="00017521" w:rsidRDefault="006F78A8" w:rsidP="00017521">
      <w:pPr>
        <w:pStyle w:val="Heading2"/>
      </w:pPr>
      <w:bookmarkStart w:id="17" w:name="_Hlk163394348"/>
      <w:bookmarkStart w:id="18" w:name="_Toc179457415"/>
      <w:r w:rsidRPr="00017521">
        <w:t>Representation by Attorneys</w:t>
      </w:r>
      <w:bookmarkEnd w:id="18"/>
    </w:p>
    <w:bookmarkEnd w:id="17"/>
    <w:p w14:paraId="1A61325B" w14:textId="77777777" w:rsidR="008E505A" w:rsidRDefault="00B130C6" w:rsidP="00723927">
      <w:r>
        <w:t xml:space="preserve">Given the deprivation of rights involved in guardianship, and the fact that the model law upon which the Maine statute was based imagines that counsel will be appointed in “virtually all” cases, </w:t>
      </w:r>
      <w:r w:rsidR="008E505A">
        <w:t>DRM was particularly interested in the rate at which Respondents were represented by attorneys.  As noted above, Respondents have a statutory right to be represented by an attorney in certain circumstances, including</w:t>
      </w:r>
      <w:r w:rsidR="008E505A" w:rsidRPr="008E505A">
        <w:t xml:space="preserve"> </w:t>
      </w:r>
      <w:r w:rsidR="008E505A">
        <w:t>when</w:t>
      </w:r>
      <w:r w:rsidR="008E505A" w:rsidRPr="008E505A">
        <w:t xml:space="preserve"> the Respondent requests </w:t>
      </w:r>
      <w:r w:rsidR="008E505A">
        <w:t>one</w:t>
      </w:r>
      <w:r w:rsidR="008E505A" w:rsidRPr="008E505A">
        <w:t xml:space="preserve">, if </w:t>
      </w:r>
      <w:r w:rsidR="008E505A">
        <w:t>appointment</w:t>
      </w:r>
      <w:r w:rsidR="008E505A" w:rsidRPr="008E505A">
        <w:t xml:space="preserve"> is recommended by the visitor, if the court determines the Respondent should have an attorney, or if the court learns that the Respondent wants to contest or limit the guardianship.</w:t>
      </w:r>
      <w:r w:rsidR="008E505A">
        <w:t xml:space="preserve">  In practice, we found that in an overwhelming number of cases, Respondents </w:t>
      </w:r>
      <w:r>
        <w:t>had no attorney</w:t>
      </w:r>
      <w:r w:rsidR="008E505A">
        <w:t>.</w:t>
      </w:r>
    </w:p>
    <w:p w14:paraId="1DD579F1" w14:textId="77777777" w:rsidR="0048652E" w:rsidRDefault="0048652E" w:rsidP="00B130C6">
      <w:pPr>
        <w:pStyle w:val="Heading3"/>
      </w:pPr>
      <w:r w:rsidRPr="00B130C6">
        <w:t>2019</w:t>
      </w:r>
    </w:p>
    <w:p w14:paraId="21B3E4D3" w14:textId="2D398A79" w:rsidR="00A50546" w:rsidRDefault="00005F5E" w:rsidP="002475A9">
      <w:r>
        <w:t>Overall</w:t>
      </w:r>
      <w:r w:rsidR="002475A9">
        <w:t xml:space="preserve">, </w:t>
      </w:r>
      <w:r w:rsidR="008E505A" w:rsidRPr="00F17618">
        <w:rPr>
          <w:b/>
        </w:rPr>
        <w:t>78% (</w:t>
      </w:r>
      <w:r w:rsidR="00C13BB8" w:rsidRPr="00F17618">
        <w:rPr>
          <w:b/>
        </w:rPr>
        <w:t>638</w:t>
      </w:r>
      <w:r w:rsidR="008E505A" w:rsidRPr="00F17618">
        <w:rPr>
          <w:b/>
        </w:rPr>
        <w:t>)</w:t>
      </w:r>
      <w:r w:rsidR="00C13BB8" w:rsidRPr="00F17618">
        <w:rPr>
          <w:b/>
        </w:rPr>
        <w:t xml:space="preserve"> </w:t>
      </w:r>
      <w:r w:rsidR="00A50546" w:rsidRPr="00F17618">
        <w:rPr>
          <w:b/>
        </w:rPr>
        <w:t>of Respondents had no attorney</w:t>
      </w:r>
      <w:r w:rsidR="002475A9" w:rsidRPr="00643FD9">
        <w:t>.</w:t>
      </w:r>
    </w:p>
    <w:p w14:paraId="0D5E3711" w14:textId="1E23A170" w:rsidR="00931DA4" w:rsidRDefault="00931DA4" w:rsidP="00931DA4">
      <w:pPr>
        <w:rPr>
          <w:b/>
        </w:rPr>
      </w:pPr>
      <w:r w:rsidRPr="00904AFB">
        <w:t xml:space="preserve">31% of the total </w:t>
      </w:r>
      <w:r w:rsidR="00B130C6">
        <w:t xml:space="preserve">817 </w:t>
      </w:r>
      <w:r w:rsidRPr="00904AFB">
        <w:t xml:space="preserve">petitions filed specified that the Respondent had a developmental disability.  </w:t>
      </w:r>
      <w:r w:rsidRPr="000C3C44">
        <w:t xml:space="preserve">Of those, </w:t>
      </w:r>
      <w:bookmarkStart w:id="19" w:name="_Hlk179274283"/>
      <w:r w:rsidRPr="000C3C44">
        <w:t xml:space="preserve">the rate of </w:t>
      </w:r>
      <w:r w:rsidR="004E4584">
        <w:t>Respondents who had no attorney rose even further</w:t>
      </w:r>
      <w:bookmarkEnd w:id="19"/>
      <w:r w:rsidRPr="000C3C44">
        <w:t xml:space="preserve">, from 78% </w:t>
      </w:r>
      <w:r w:rsidRPr="000C3C44">
        <w:rPr>
          <w:b/>
        </w:rPr>
        <w:t>without an attorney to 90%</w:t>
      </w:r>
      <w:r w:rsidRPr="000C3C44">
        <w:t>.</w:t>
      </w:r>
    </w:p>
    <w:p w14:paraId="7273346E" w14:textId="77777777" w:rsidR="00B6371D" w:rsidRDefault="006F72D1" w:rsidP="00946B6D">
      <w:r>
        <w:rPr>
          <w:noProof/>
        </w:rPr>
        <w:lastRenderedPageBreak/>
        <w:drawing>
          <wp:inline distT="0" distB="0" distL="0" distR="0" wp14:anchorId="3E896BD3" wp14:editId="67447670">
            <wp:extent cx="2971800" cy="3108960"/>
            <wp:effectExtent l="0" t="0" r="0" b="0"/>
            <wp:docPr id="8" name="Chart 8" descr="Pie chart with two sections.  Larger piece showing 78% of Respondents unrepresented, and smaller piece showing 22%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6371D">
        <w:rPr>
          <w:noProof/>
        </w:rPr>
        <w:drawing>
          <wp:inline distT="0" distB="0" distL="0" distR="0" wp14:anchorId="739FD51C" wp14:editId="775909DE">
            <wp:extent cx="2971800" cy="3108960"/>
            <wp:effectExtent l="0" t="0" r="0" b="0"/>
            <wp:docPr id="15" name="Chart 15" descr="Pie chart with two sections.  Larger piece showing 90% of Respondents unrepresented, and smaller piece showing 10%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AF5513" w14:textId="77777777" w:rsidR="00CC7D67" w:rsidRDefault="00CC7D67" w:rsidP="000C3C44">
      <w:pPr>
        <w:pStyle w:val="Heading3"/>
      </w:pPr>
      <w:r>
        <w:t>2020</w:t>
      </w:r>
    </w:p>
    <w:p w14:paraId="095F9026" w14:textId="041CE241" w:rsidR="00CC7D67" w:rsidRDefault="00005F5E" w:rsidP="00CC7D67">
      <w:r>
        <w:t>Overall</w:t>
      </w:r>
      <w:r w:rsidR="00CC7D67">
        <w:t xml:space="preserve">, </w:t>
      </w:r>
      <w:r w:rsidR="00CC7D67">
        <w:rPr>
          <w:b/>
        </w:rPr>
        <w:t>73% (488) of Respondents had no attorney</w:t>
      </w:r>
      <w:r w:rsidR="00CC7D67">
        <w:t>.</w:t>
      </w:r>
    </w:p>
    <w:p w14:paraId="0580F84E" w14:textId="078F92EF" w:rsidR="00DB65E3" w:rsidRDefault="00931DA4" w:rsidP="00017521">
      <w:r>
        <w:t xml:space="preserve">23% </w:t>
      </w:r>
      <w:r w:rsidRPr="003901CC">
        <w:t xml:space="preserve">of the total </w:t>
      </w:r>
      <w:r w:rsidR="00B130C6">
        <w:t xml:space="preserve">668 </w:t>
      </w:r>
      <w:r w:rsidRPr="003901CC">
        <w:t>petitions filed specified that the Respondent had a developmental disability.  Of t</w:t>
      </w:r>
      <w:r w:rsidR="00B130C6">
        <w:t>hose</w:t>
      </w:r>
      <w:r w:rsidRPr="003901CC">
        <w:t xml:space="preserve">, </w:t>
      </w:r>
      <w:r w:rsidR="004E4584" w:rsidRPr="004E4584">
        <w:t>the rate of Respondents who had no attorney rose even further</w:t>
      </w:r>
      <w:r w:rsidRPr="003901CC">
        <w:t xml:space="preserve">, from </w:t>
      </w:r>
      <w:r>
        <w:t xml:space="preserve">73% </w:t>
      </w:r>
      <w:r w:rsidRPr="000C3C44">
        <w:rPr>
          <w:b/>
        </w:rPr>
        <w:t>without an attorney to 96%</w:t>
      </w:r>
      <w:r w:rsidRPr="000C3C44">
        <w:t>.</w:t>
      </w:r>
    </w:p>
    <w:p w14:paraId="3FC28494" w14:textId="2CA2BBBB" w:rsidR="00CC7D67" w:rsidRDefault="00585883" w:rsidP="00017521">
      <w:r w:rsidRPr="009A6E91">
        <w:rPr>
          <w:noProof/>
        </w:rPr>
        <w:drawing>
          <wp:inline distT="0" distB="0" distL="0" distR="0" wp14:anchorId="3223B496" wp14:editId="4D7B4A1F">
            <wp:extent cx="2971800" cy="3108960"/>
            <wp:effectExtent l="0" t="0" r="0" b="0"/>
            <wp:docPr id="20" name="Chart 20" descr="Pie chart with two sections.  Larger piece showing 73% of Respondents unrepresented, and smaller piece showing 27%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A6E91">
        <w:rPr>
          <w:noProof/>
        </w:rPr>
        <w:drawing>
          <wp:inline distT="0" distB="0" distL="0" distR="0" wp14:anchorId="38202B69" wp14:editId="2032441B">
            <wp:extent cx="2971800" cy="3108960"/>
            <wp:effectExtent l="0" t="0" r="0" b="0"/>
            <wp:docPr id="21" name="Chart 21" descr="Pie chart with two sections.  Larger piece showing 96% of Respondents unrepresented, and smaller piece showing 4%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55EFAB" w14:textId="77777777" w:rsidR="00591ECA" w:rsidRDefault="00591ECA">
      <w:pPr>
        <w:widowControl/>
        <w:spacing w:after="160" w:line="259" w:lineRule="auto"/>
        <w:rPr>
          <w:smallCaps/>
          <w:u w:val="single"/>
        </w:rPr>
      </w:pPr>
      <w:r>
        <w:br w:type="page"/>
      </w:r>
    </w:p>
    <w:p w14:paraId="2464FD1B" w14:textId="573F2406" w:rsidR="00CC7D67" w:rsidRDefault="00CC7D67" w:rsidP="00CC7D67">
      <w:pPr>
        <w:pStyle w:val="Heading3"/>
      </w:pPr>
      <w:r>
        <w:lastRenderedPageBreak/>
        <w:t>2021</w:t>
      </w:r>
    </w:p>
    <w:p w14:paraId="514EB865" w14:textId="1AB4F0F3" w:rsidR="00CC7D67" w:rsidRDefault="00005F5E" w:rsidP="00CC7D67">
      <w:r>
        <w:t>Overall</w:t>
      </w:r>
      <w:r w:rsidR="00CC7D67">
        <w:t xml:space="preserve">, </w:t>
      </w:r>
      <w:r w:rsidR="00CC7D67">
        <w:rPr>
          <w:b/>
        </w:rPr>
        <w:t>7</w:t>
      </w:r>
      <w:r w:rsidR="00830A50">
        <w:rPr>
          <w:b/>
        </w:rPr>
        <w:t>4</w:t>
      </w:r>
      <w:r w:rsidR="00CC7D67">
        <w:rPr>
          <w:b/>
        </w:rPr>
        <w:t>% (628) of Respondents had no attorney</w:t>
      </w:r>
      <w:r w:rsidR="00CC7D67">
        <w:t>.</w:t>
      </w:r>
    </w:p>
    <w:p w14:paraId="5404CE63" w14:textId="20F1B4A2" w:rsidR="00931DA4" w:rsidRDefault="00931DA4" w:rsidP="00931DA4">
      <w:pPr>
        <w:rPr>
          <w:b/>
        </w:rPr>
      </w:pPr>
      <w:r>
        <w:t>2</w:t>
      </w:r>
      <w:r w:rsidR="00830A50">
        <w:t>7</w:t>
      </w:r>
      <w:r>
        <w:t xml:space="preserve">% </w:t>
      </w:r>
      <w:r w:rsidRPr="0094542A">
        <w:t xml:space="preserve">of the total </w:t>
      </w:r>
      <w:r w:rsidR="004B52A8">
        <w:t xml:space="preserve">849 </w:t>
      </w:r>
      <w:r w:rsidRPr="0094542A">
        <w:t>petitions filed specified that the Respondent had a developmental disability.  Of t</w:t>
      </w:r>
      <w:r w:rsidR="00B130C6">
        <w:t>hose</w:t>
      </w:r>
      <w:r w:rsidRPr="0094542A">
        <w:t xml:space="preserve">, </w:t>
      </w:r>
      <w:r w:rsidR="004E4584" w:rsidRPr="004E4584">
        <w:t>the rate of Respondents who had no attorney rose even further</w:t>
      </w:r>
      <w:r w:rsidRPr="0094542A">
        <w:t>, from</w:t>
      </w:r>
      <w:r>
        <w:t xml:space="preserve"> 74% </w:t>
      </w:r>
      <w:r w:rsidRPr="000C3C44">
        <w:rPr>
          <w:b/>
        </w:rPr>
        <w:t>without an attorney to</w:t>
      </w:r>
      <w:r>
        <w:t xml:space="preserve"> </w:t>
      </w:r>
      <w:r w:rsidRPr="0094542A">
        <w:rPr>
          <w:b/>
        </w:rPr>
        <w:t>93%</w:t>
      </w:r>
      <w:r w:rsidRPr="000C3C44">
        <w:t>.</w:t>
      </w:r>
    </w:p>
    <w:p w14:paraId="576E81AF" w14:textId="77777777" w:rsidR="00CC7D67" w:rsidRDefault="00CC7D67" w:rsidP="00CC7D67">
      <w:pPr>
        <w:keepNext/>
      </w:pPr>
      <w:r w:rsidRPr="00D0130E">
        <w:rPr>
          <w:noProof/>
        </w:rPr>
        <w:drawing>
          <wp:inline distT="0" distB="0" distL="0" distR="0" wp14:anchorId="166BF37A" wp14:editId="59E1D0D2">
            <wp:extent cx="2971800" cy="3108960"/>
            <wp:effectExtent l="0" t="0" r="0" b="0"/>
            <wp:docPr id="27" name="Chart 27" descr="Pie chart with two sections.  Larger piece showing 74% of Respondents unrepresented, and smaller piece showing 26%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0130E">
        <w:rPr>
          <w:noProof/>
        </w:rPr>
        <w:drawing>
          <wp:inline distT="0" distB="0" distL="0" distR="0" wp14:anchorId="27A98B5D" wp14:editId="1A69BF4C">
            <wp:extent cx="2971800" cy="3108960"/>
            <wp:effectExtent l="0" t="0" r="0" b="0"/>
            <wp:docPr id="28" name="Chart 28" descr="Pie chart with two sections.  Larger piece showing 93% of Respondents unrepresented, and smaller piece showing 7% of Respondents represen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71E89F" w14:textId="77777777" w:rsidR="002475A9" w:rsidRDefault="002475A9" w:rsidP="00017521">
      <w:pPr>
        <w:pStyle w:val="Heading2"/>
      </w:pPr>
      <w:bookmarkStart w:id="20" w:name="_Toc179457416"/>
      <w:r>
        <w:t>Rate of Appointment of Guardian</w:t>
      </w:r>
      <w:bookmarkEnd w:id="20"/>
    </w:p>
    <w:p w14:paraId="3DF5F1A1" w14:textId="43723447" w:rsidR="001105FC" w:rsidRDefault="001105FC" w:rsidP="001105FC">
      <w:r>
        <w:t>DRM tracked how many of the petitions filed resulted in the appointment of a guardian</w:t>
      </w:r>
      <w:r w:rsidR="005F61B9">
        <w:t>.  Where guardians were appointed, DRM tracked</w:t>
      </w:r>
      <w:r>
        <w:t xml:space="preserve"> how many of those appointments were full guardianships vs. limited and how many were private guardianships vs. public.</w:t>
      </w:r>
    </w:p>
    <w:p w14:paraId="1F438D79" w14:textId="77777777" w:rsidR="008E7DE9" w:rsidRPr="001105FC" w:rsidRDefault="008E7DE9" w:rsidP="001105FC">
      <w:r>
        <w:t>As above, DRM compared the rates of appointment of guardians for Respondents with developmental disabilities with the overall rates.</w:t>
      </w:r>
    </w:p>
    <w:p w14:paraId="7D972894" w14:textId="77777777" w:rsidR="00CC7D67" w:rsidRDefault="00CC7D67" w:rsidP="00FD52B5">
      <w:pPr>
        <w:pStyle w:val="Heading3"/>
      </w:pPr>
      <w:r>
        <w:t>2019</w:t>
      </w:r>
    </w:p>
    <w:p w14:paraId="2AFCBCDD" w14:textId="4AC307F2" w:rsidR="002475A9" w:rsidRDefault="002475A9" w:rsidP="002475A9">
      <w:r>
        <w:t xml:space="preserve">Of the 817 petitions for guardianship filed, </w:t>
      </w:r>
      <w:r w:rsidRPr="00643FD9">
        <w:rPr>
          <w:b/>
        </w:rPr>
        <w:t>guardianship was ordered in 7</w:t>
      </w:r>
      <w:r w:rsidR="00830A50">
        <w:rPr>
          <w:b/>
        </w:rPr>
        <w:t>7</w:t>
      </w:r>
      <w:r w:rsidRPr="00643FD9">
        <w:rPr>
          <w:b/>
        </w:rPr>
        <w:t>% (625) of the cases</w:t>
      </w:r>
      <w:r>
        <w:t>.</w:t>
      </w:r>
      <w:r w:rsidR="009B7911">
        <w:rPr>
          <w:rStyle w:val="FootnoteReference"/>
        </w:rPr>
        <w:footnoteReference w:id="17"/>
      </w:r>
      <w:r>
        <w:t xml:space="preserve">  Of the 625 </w:t>
      </w:r>
      <w:r w:rsidR="001D4B31">
        <w:t>guardianship orders</w:t>
      </w:r>
      <w:r>
        <w:t>:</w:t>
      </w:r>
    </w:p>
    <w:p w14:paraId="3CE630F1" w14:textId="4B1E7C1C" w:rsidR="00A50546" w:rsidRDefault="002475A9" w:rsidP="002475A9">
      <w:pPr>
        <w:pStyle w:val="ListParagraph"/>
        <w:numPr>
          <w:ilvl w:val="0"/>
          <w:numId w:val="6"/>
        </w:numPr>
      </w:pPr>
      <w:r>
        <w:t>9</w:t>
      </w:r>
      <w:r w:rsidR="00830A50">
        <w:t>3</w:t>
      </w:r>
      <w:r>
        <w:t>% (</w:t>
      </w:r>
      <w:r w:rsidR="000E0A93">
        <w:t>580</w:t>
      </w:r>
      <w:r>
        <w:t>)</w:t>
      </w:r>
      <w:r w:rsidR="001C5BC6">
        <w:t xml:space="preserve"> were full guardianships</w:t>
      </w:r>
      <w:r w:rsidR="00757466">
        <w:t>;</w:t>
      </w:r>
    </w:p>
    <w:p w14:paraId="65F07267" w14:textId="6B8C2D4A" w:rsidR="00A50546" w:rsidRDefault="002475A9" w:rsidP="002475A9">
      <w:pPr>
        <w:pStyle w:val="ListParagraph"/>
        <w:numPr>
          <w:ilvl w:val="0"/>
          <w:numId w:val="3"/>
        </w:numPr>
      </w:pPr>
      <w:r>
        <w:t>7% (</w:t>
      </w:r>
      <w:r w:rsidR="001C5BC6">
        <w:t>45</w:t>
      </w:r>
      <w:r>
        <w:t>)</w:t>
      </w:r>
      <w:r w:rsidR="001C5BC6">
        <w:t xml:space="preserve"> were limited guardianships</w:t>
      </w:r>
      <w:r w:rsidR="00757466">
        <w:t>;</w:t>
      </w:r>
    </w:p>
    <w:p w14:paraId="5461C5FD" w14:textId="77777777" w:rsidR="002475A9" w:rsidRDefault="002475A9" w:rsidP="002475A9">
      <w:pPr>
        <w:pStyle w:val="ListParagraph"/>
      </w:pPr>
    </w:p>
    <w:p w14:paraId="45F55C51" w14:textId="7BB25808" w:rsidR="00A50546" w:rsidRDefault="002475A9" w:rsidP="002475A9">
      <w:pPr>
        <w:pStyle w:val="ListParagraph"/>
        <w:numPr>
          <w:ilvl w:val="0"/>
          <w:numId w:val="3"/>
        </w:numPr>
      </w:pPr>
      <w:r>
        <w:lastRenderedPageBreak/>
        <w:t>87% (</w:t>
      </w:r>
      <w:r w:rsidR="001C5BC6">
        <w:t>544</w:t>
      </w:r>
      <w:r>
        <w:t>)</w:t>
      </w:r>
      <w:r w:rsidR="001C5BC6">
        <w:t xml:space="preserve"> were </w:t>
      </w:r>
      <w:r w:rsidR="00A50546">
        <w:t xml:space="preserve">appointed </w:t>
      </w:r>
      <w:r w:rsidR="001C5BC6">
        <w:t>private guardians</w:t>
      </w:r>
      <w:r w:rsidR="00757466">
        <w:t>;</w:t>
      </w:r>
    </w:p>
    <w:p w14:paraId="70E36E5B" w14:textId="7AFFA018" w:rsidR="00820611" w:rsidRDefault="002475A9" w:rsidP="00723927">
      <w:pPr>
        <w:pStyle w:val="ListParagraph"/>
        <w:numPr>
          <w:ilvl w:val="0"/>
          <w:numId w:val="3"/>
        </w:numPr>
      </w:pPr>
      <w:r>
        <w:t>1</w:t>
      </w:r>
      <w:r w:rsidR="00830A50">
        <w:t>3</w:t>
      </w:r>
      <w:r>
        <w:t>% (</w:t>
      </w:r>
      <w:r w:rsidR="001C5BC6">
        <w:t>81</w:t>
      </w:r>
      <w:r>
        <w:t>)</w:t>
      </w:r>
      <w:r w:rsidR="001C5BC6">
        <w:t xml:space="preserve"> </w:t>
      </w:r>
      <w:r w:rsidR="00A50546">
        <w:t xml:space="preserve">were </w:t>
      </w:r>
      <w:r w:rsidR="001C5BC6">
        <w:t>appointed public/st</w:t>
      </w:r>
      <w:r w:rsidR="00A50546">
        <w:t>a</w:t>
      </w:r>
      <w:r w:rsidR="001C5BC6">
        <w:t>te guardian</w:t>
      </w:r>
      <w:r w:rsidR="00A50546">
        <w:t>s</w:t>
      </w:r>
      <w:r w:rsidR="004B52A8">
        <w:t>.</w:t>
      </w:r>
    </w:p>
    <w:p w14:paraId="600D9E94" w14:textId="01521F5E" w:rsidR="001105FC" w:rsidRDefault="001105FC" w:rsidP="001105FC">
      <w:r w:rsidRPr="00D70EB6">
        <w:rPr>
          <w:b/>
        </w:rPr>
        <w:t>Of the 254 cases involving Respondents with developmental disabilities, the rate of appointment of a guardian rose from 7</w:t>
      </w:r>
      <w:r w:rsidR="00830A50">
        <w:rPr>
          <w:b/>
        </w:rPr>
        <w:t>7</w:t>
      </w:r>
      <w:r w:rsidRPr="00D70EB6">
        <w:rPr>
          <w:b/>
        </w:rPr>
        <w:t xml:space="preserve">% overall to </w:t>
      </w:r>
      <w:r w:rsidR="00A85462">
        <w:rPr>
          <w:b/>
        </w:rPr>
        <w:t>90</w:t>
      </w:r>
      <w:r w:rsidRPr="00D70EB6">
        <w:rPr>
          <w:b/>
        </w:rPr>
        <w:t>% (228).</w:t>
      </w:r>
      <w:r>
        <w:t xml:space="preserve">  91% of </w:t>
      </w:r>
      <w:r w:rsidR="009262B7">
        <w:t>guardianship</w:t>
      </w:r>
      <w:r>
        <w:t xml:space="preserve"> orders </w:t>
      </w:r>
      <w:r w:rsidR="009262B7">
        <w:t xml:space="preserve">for people with developmental disabilities </w:t>
      </w:r>
      <w:r>
        <w:t>were for full guardianships.</w:t>
      </w:r>
    </w:p>
    <w:p w14:paraId="058987FC" w14:textId="77777777" w:rsidR="005D52E1" w:rsidRDefault="009A2E79" w:rsidP="00261765">
      <w:pPr>
        <w:keepNext/>
        <w:jc w:val="center"/>
      </w:pPr>
      <w:r>
        <w:rPr>
          <w:noProof/>
        </w:rPr>
        <w:drawing>
          <wp:inline distT="0" distB="0" distL="0" distR="0" wp14:anchorId="6E3D044B" wp14:editId="21FE9CF3">
            <wp:extent cx="2971800" cy="4023360"/>
            <wp:effectExtent l="0" t="0" r="0" b="0"/>
            <wp:docPr id="3" name="Chart 3" descr="Pie chart with four sections.  Largest piece showing 71% of cases resulting in full guardianship, 6% of cases resulting in limited guardianship, 23% of cases resulting in no guardianship, and less than 1%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6371D">
        <w:rPr>
          <w:noProof/>
        </w:rPr>
        <w:drawing>
          <wp:inline distT="0" distB="0" distL="0" distR="0" wp14:anchorId="1DA62AD7" wp14:editId="780A951E">
            <wp:extent cx="2971800" cy="4023360"/>
            <wp:effectExtent l="0" t="0" r="0" b="0"/>
            <wp:docPr id="16" name="Chart 16" descr="Pie chart with three sections.  Largest piece showing 82% of cases resulting in full guardianship, 8% of cases resulting in limited guardianship, and 10% of cases resulting in no guardian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327776" w14:textId="77777777" w:rsidR="000C2B97" w:rsidRPr="00A0381D" w:rsidRDefault="000C2B97" w:rsidP="00FD52B5">
      <w:pPr>
        <w:pStyle w:val="Heading3"/>
      </w:pPr>
      <w:r>
        <w:t>2020</w:t>
      </w:r>
    </w:p>
    <w:p w14:paraId="131DA417" w14:textId="4410DB3E" w:rsidR="000C2B97" w:rsidRDefault="000C2B97" w:rsidP="000C2B97">
      <w:r>
        <w:t xml:space="preserve">Of the 668 petitions for guardianship filed, </w:t>
      </w:r>
      <w:r>
        <w:rPr>
          <w:b/>
        </w:rPr>
        <w:t>guardianship was ordered in 7</w:t>
      </w:r>
      <w:r w:rsidR="00830A50">
        <w:rPr>
          <w:b/>
        </w:rPr>
        <w:t>9</w:t>
      </w:r>
      <w:r>
        <w:rPr>
          <w:b/>
        </w:rPr>
        <w:t>% (526) of the cases</w:t>
      </w:r>
      <w:r>
        <w:t>.  Of the 526 guardianship orders:</w:t>
      </w:r>
    </w:p>
    <w:p w14:paraId="732CBF00" w14:textId="03E81755" w:rsidR="000C2B97" w:rsidRDefault="000C2B97" w:rsidP="000C2B97">
      <w:pPr>
        <w:pStyle w:val="ListParagraph"/>
        <w:numPr>
          <w:ilvl w:val="0"/>
          <w:numId w:val="11"/>
        </w:numPr>
      </w:pPr>
      <w:r>
        <w:t>91% (480) were full guardianships</w:t>
      </w:r>
      <w:r w:rsidR="00757466">
        <w:t>;</w:t>
      </w:r>
    </w:p>
    <w:p w14:paraId="16A84921" w14:textId="79D3C50F" w:rsidR="000C2B97" w:rsidRDefault="00830A50" w:rsidP="000C2B97">
      <w:pPr>
        <w:pStyle w:val="ListParagraph"/>
        <w:numPr>
          <w:ilvl w:val="0"/>
          <w:numId w:val="11"/>
        </w:numPr>
      </w:pPr>
      <w:r>
        <w:t>9</w:t>
      </w:r>
      <w:r w:rsidR="000C2B97">
        <w:t>% (46) were limited guardianships</w:t>
      </w:r>
      <w:r w:rsidR="00757466">
        <w:t>;</w:t>
      </w:r>
    </w:p>
    <w:p w14:paraId="510A40A4" w14:textId="77777777" w:rsidR="000C2B97" w:rsidRDefault="000C2B97" w:rsidP="000C2B97">
      <w:pPr>
        <w:pStyle w:val="ListParagraph"/>
      </w:pPr>
    </w:p>
    <w:p w14:paraId="115EC2A0" w14:textId="4C3BBE98" w:rsidR="000C2B97" w:rsidRDefault="000C2B97" w:rsidP="000C2B97">
      <w:pPr>
        <w:pStyle w:val="ListParagraph"/>
        <w:numPr>
          <w:ilvl w:val="0"/>
          <w:numId w:val="11"/>
        </w:numPr>
      </w:pPr>
      <w:r>
        <w:t>8</w:t>
      </w:r>
      <w:r w:rsidR="00830A50">
        <w:t>5</w:t>
      </w:r>
      <w:r>
        <w:t>% (445) were appointed private guardians</w:t>
      </w:r>
      <w:r w:rsidR="00757466">
        <w:t>;</w:t>
      </w:r>
    </w:p>
    <w:p w14:paraId="7B5D2EF1" w14:textId="5E95C2E2" w:rsidR="000C2B97" w:rsidRDefault="000C2B97" w:rsidP="000C2B97">
      <w:pPr>
        <w:pStyle w:val="ListParagraph"/>
        <w:numPr>
          <w:ilvl w:val="0"/>
          <w:numId w:val="11"/>
        </w:numPr>
      </w:pPr>
      <w:r>
        <w:t>15% (81) were appointed public/state guardians</w:t>
      </w:r>
      <w:r w:rsidR="004B52A8">
        <w:t>.</w:t>
      </w:r>
    </w:p>
    <w:p w14:paraId="40DEC3F2" w14:textId="08CF2CB0" w:rsidR="00C0385B" w:rsidRDefault="00C0385B" w:rsidP="00C0385B">
      <w:r w:rsidRPr="00D70EB6">
        <w:rPr>
          <w:b/>
        </w:rPr>
        <w:t>Of the 156 cases involving Respondents with DD, the rate of appointment of a guardian rose from 79% overall to 9</w:t>
      </w:r>
      <w:r w:rsidR="00AD71D0">
        <w:rPr>
          <w:b/>
        </w:rPr>
        <w:t>5</w:t>
      </w:r>
      <w:r w:rsidRPr="00D70EB6">
        <w:rPr>
          <w:b/>
        </w:rPr>
        <w:t>% (149).</w:t>
      </w:r>
      <w:r>
        <w:t xml:space="preserve">  95% </w:t>
      </w:r>
      <w:r w:rsidR="009262B7" w:rsidRPr="009262B7">
        <w:t xml:space="preserve">of guardianship orders for people with developmental disabilities </w:t>
      </w:r>
      <w:r>
        <w:t>were full guardianships.</w:t>
      </w:r>
    </w:p>
    <w:p w14:paraId="3D0FE013" w14:textId="77777777" w:rsidR="000C2B97" w:rsidRDefault="000C2B97" w:rsidP="000C2B97">
      <w:pPr>
        <w:keepNext/>
      </w:pPr>
      <w:r w:rsidRPr="009A6E91">
        <w:rPr>
          <w:noProof/>
        </w:rPr>
        <w:lastRenderedPageBreak/>
        <w:drawing>
          <wp:inline distT="0" distB="0" distL="0" distR="0" wp14:anchorId="723982FE" wp14:editId="3350E63F">
            <wp:extent cx="2971800" cy="4023360"/>
            <wp:effectExtent l="0" t="0" r="0" b="0"/>
            <wp:docPr id="22" name="Chart 22" descr="Pie chart with four sections.  Largest piece showing 72% of cases resulting in full guardianship, 7% of cases resulting in limited guardianship, 20% of cases resulting in no guardianship, and 1%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A6E91">
        <w:rPr>
          <w:noProof/>
        </w:rPr>
        <w:drawing>
          <wp:inline distT="0" distB="0" distL="0" distR="0" wp14:anchorId="328EE31B" wp14:editId="4C33E704">
            <wp:extent cx="2971800" cy="4023360"/>
            <wp:effectExtent l="0" t="0" r="0" b="0"/>
            <wp:docPr id="23" name="Chart 23" descr="Pie chart with four sections.  Largest piece showing 91% of cases resulting in full guardianship, 4% of cases resulting in limited guardianship, 3% of cases resulting in no guardianship, and 2%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14057B" w14:textId="77777777" w:rsidR="000C2B97" w:rsidRDefault="000C2B97" w:rsidP="00FD52B5">
      <w:pPr>
        <w:pStyle w:val="Heading3"/>
      </w:pPr>
      <w:r>
        <w:t>2021</w:t>
      </w:r>
    </w:p>
    <w:p w14:paraId="0C230B97" w14:textId="0FF4DCC6" w:rsidR="000C2B97" w:rsidRDefault="000C2B97" w:rsidP="000C2B97">
      <w:r>
        <w:t xml:space="preserve">Of the 849 petitions for guardianship filed, </w:t>
      </w:r>
      <w:r>
        <w:rPr>
          <w:b/>
        </w:rPr>
        <w:t>guardianship was ordered in 7</w:t>
      </w:r>
      <w:r w:rsidR="00830A50">
        <w:rPr>
          <w:b/>
        </w:rPr>
        <w:t>6</w:t>
      </w:r>
      <w:r>
        <w:rPr>
          <w:b/>
        </w:rPr>
        <w:t>% (645) of the cases</w:t>
      </w:r>
      <w:r>
        <w:t>.  Of the 645 guardianship orders:</w:t>
      </w:r>
    </w:p>
    <w:p w14:paraId="37805368" w14:textId="2B0BA7A9" w:rsidR="000C2B97" w:rsidRDefault="000C2B97" w:rsidP="000C2B97">
      <w:pPr>
        <w:pStyle w:val="ListParagraph"/>
        <w:numPr>
          <w:ilvl w:val="0"/>
          <w:numId w:val="13"/>
        </w:numPr>
      </w:pPr>
      <w:r>
        <w:t>93% (601) were full guardianships</w:t>
      </w:r>
      <w:r w:rsidR="00757466">
        <w:t>;</w:t>
      </w:r>
    </w:p>
    <w:p w14:paraId="510C956C" w14:textId="792BBB15" w:rsidR="000C2B97" w:rsidRDefault="00830A50" w:rsidP="000C2B97">
      <w:pPr>
        <w:pStyle w:val="ListParagraph"/>
        <w:numPr>
          <w:ilvl w:val="0"/>
          <w:numId w:val="13"/>
        </w:numPr>
      </w:pPr>
      <w:r>
        <w:t>7</w:t>
      </w:r>
      <w:r w:rsidR="000C2B97">
        <w:t>% (44) were limited guardianships</w:t>
      </w:r>
      <w:r w:rsidR="00757466">
        <w:t>;</w:t>
      </w:r>
    </w:p>
    <w:p w14:paraId="6ACD2580" w14:textId="77777777" w:rsidR="000C2B97" w:rsidRDefault="000C2B97" w:rsidP="000C2B97">
      <w:pPr>
        <w:pStyle w:val="ListParagraph"/>
      </w:pPr>
    </w:p>
    <w:p w14:paraId="5B249476" w14:textId="1DB519C7" w:rsidR="000C2B97" w:rsidRDefault="000C2B97" w:rsidP="000C2B97">
      <w:pPr>
        <w:pStyle w:val="ListParagraph"/>
        <w:numPr>
          <w:ilvl w:val="0"/>
          <w:numId w:val="13"/>
        </w:numPr>
      </w:pPr>
      <w:r>
        <w:t>82% (532) were appointed private guardians</w:t>
      </w:r>
      <w:r w:rsidR="00757466">
        <w:t>;</w:t>
      </w:r>
    </w:p>
    <w:p w14:paraId="2560618A" w14:textId="769FEDE8" w:rsidR="000C2B97" w:rsidRDefault="000C2B97" w:rsidP="000C2B97">
      <w:pPr>
        <w:pStyle w:val="ListParagraph"/>
        <w:numPr>
          <w:ilvl w:val="0"/>
          <w:numId w:val="13"/>
        </w:numPr>
      </w:pPr>
      <w:r>
        <w:t>1</w:t>
      </w:r>
      <w:r w:rsidR="00830A50">
        <w:t>8</w:t>
      </w:r>
      <w:r>
        <w:t>% (113) were appointed public/state guardians</w:t>
      </w:r>
      <w:r w:rsidR="004B52A8">
        <w:t>.</w:t>
      </w:r>
    </w:p>
    <w:p w14:paraId="7D8AA978" w14:textId="2B618D5C" w:rsidR="00C0385B" w:rsidRDefault="00C0385B" w:rsidP="00C0385B">
      <w:r w:rsidRPr="00D70EB6">
        <w:rPr>
          <w:b/>
        </w:rPr>
        <w:t>Of the 228 cases involving Respondents with DD, the rate of appointment of a guardian rose from 76%</w:t>
      </w:r>
      <w:r w:rsidR="00B130C6">
        <w:rPr>
          <w:b/>
        </w:rPr>
        <w:t xml:space="preserve"> overall</w:t>
      </w:r>
      <w:r w:rsidRPr="00D70EB6">
        <w:rPr>
          <w:b/>
        </w:rPr>
        <w:t xml:space="preserve"> to 94%.</w:t>
      </w:r>
      <w:r>
        <w:t xml:space="preserve">  93% </w:t>
      </w:r>
      <w:r w:rsidR="009262B7" w:rsidRPr="009262B7">
        <w:t xml:space="preserve">of guardianship orders for people with developmental disabilities </w:t>
      </w:r>
      <w:r>
        <w:t>were full guardianships.</w:t>
      </w:r>
    </w:p>
    <w:p w14:paraId="4B946597" w14:textId="77777777" w:rsidR="000C2B97" w:rsidRDefault="000C2B97" w:rsidP="000C2B97">
      <w:pPr>
        <w:keepNext/>
      </w:pPr>
      <w:r w:rsidRPr="00D0130E">
        <w:rPr>
          <w:noProof/>
        </w:rPr>
        <w:lastRenderedPageBreak/>
        <w:drawing>
          <wp:inline distT="0" distB="0" distL="0" distR="0" wp14:anchorId="7E75C4D4" wp14:editId="70F87C96">
            <wp:extent cx="2971800" cy="4023360"/>
            <wp:effectExtent l="0" t="0" r="0" b="0"/>
            <wp:docPr id="29" name="Chart 29" descr="Pie chart with three sections.  Largest piece showing 71% of cases resulting in full guardianship, 5% of cases resulting in limited guardianship, and 24% of cases resulting in no guardian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0130E">
        <w:rPr>
          <w:noProof/>
        </w:rPr>
        <w:drawing>
          <wp:inline distT="0" distB="0" distL="0" distR="0" wp14:anchorId="15ED2019" wp14:editId="7A16D839">
            <wp:extent cx="2971800" cy="4023360"/>
            <wp:effectExtent l="0" t="0" r="0" b="0"/>
            <wp:docPr id="30" name="Chart 30" descr="Pie chart with three sections.  Largest piece showing 88% of cases resulting in full guardianship, 6% of cases resulting in limited guardianship, and 6% of cases resulting in no guardian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0A3B95" w14:textId="77777777" w:rsidR="004C67A1" w:rsidRDefault="004C67A1" w:rsidP="00017521">
      <w:pPr>
        <w:pStyle w:val="Heading2"/>
      </w:pPr>
      <w:bookmarkStart w:id="21" w:name="_Toc179457417"/>
      <w:r>
        <w:t>Correlation Between Appointment of Guardian and Attorney for Respondent</w:t>
      </w:r>
      <w:bookmarkEnd w:id="21"/>
    </w:p>
    <w:p w14:paraId="7E9C81EA" w14:textId="7ED4A655" w:rsidR="00FD3025" w:rsidRDefault="00FD3025" w:rsidP="00FD3025">
      <w:r>
        <w:t>Across the three years studied, the presence or absence of an attorney for the Respondent correlated strongly with whether a guardianship was ordered</w:t>
      </w:r>
      <w:r w:rsidR="00B67C31">
        <w:t xml:space="preserve"> and what kind of guardianship was ordered (full vs. limited)</w:t>
      </w:r>
      <w:r>
        <w:t xml:space="preserve">.  When the Respondent had an attorney, </w:t>
      </w:r>
      <w:r w:rsidR="00BA4728">
        <w:t xml:space="preserve">guardianships were ordered far less </w:t>
      </w:r>
      <w:r w:rsidR="00316A31">
        <w:t>often</w:t>
      </w:r>
      <w:r w:rsidR="00B67C31">
        <w:t>, and when a guardianship was ordered, the likelihood that it was a limited guardianship rose.</w:t>
      </w:r>
    </w:p>
    <w:p w14:paraId="5530F674" w14:textId="77777777" w:rsidR="000C2B97" w:rsidRPr="000C2B97" w:rsidRDefault="000C2B97" w:rsidP="000C2B97">
      <w:pPr>
        <w:pStyle w:val="Heading3"/>
      </w:pPr>
      <w:r>
        <w:t>2019</w:t>
      </w:r>
    </w:p>
    <w:p w14:paraId="526B9123" w14:textId="6DCC9330" w:rsidR="00FE2493" w:rsidRPr="00D70EB6" w:rsidRDefault="00FE2493" w:rsidP="00723927">
      <w:pPr>
        <w:rPr>
          <w:b/>
        </w:rPr>
      </w:pPr>
      <w:r>
        <w:t xml:space="preserve">When there was no attorney, guardianships were ordered </w:t>
      </w:r>
      <w:r w:rsidR="00830A50">
        <w:t>80</w:t>
      </w:r>
      <w:r>
        <w:t xml:space="preserve">% of the time.  </w:t>
      </w:r>
      <w:r w:rsidRPr="00D70EB6">
        <w:rPr>
          <w:b/>
        </w:rPr>
        <w:t>When the Respondent had an attorney, the rate dropped to 6</w:t>
      </w:r>
      <w:r w:rsidR="00830A50">
        <w:rPr>
          <w:b/>
        </w:rPr>
        <w:t>5</w:t>
      </w:r>
      <w:r w:rsidRPr="00D70EB6">
        <w:rPr>
          <w:b/>
        </w:rPr>
        <w:t>%</w:t>
      </w:r>
      <w:r w:rsidR="004C67A1" w:rsidRPr="00D70EB6">
        <w:rPr>
          <w:b/>
        </w:rPr>
        <w:t>.</w:t>
      </w:r>
    </w:p>
    <w:p w14:paraId="03ABD31F" w14:textId="7A3CAE52" w:rsidR="00FE2493" w:rsidRDefault="00FE2493" w:rsidP="00723927">
      <w:r>
        <w:t>With no attorney, 9</w:t>
      </w:r>
      <w:r w:rsidR="00830A50">
        <w:t>5</w:t>
      </w:r>
      <w:r>
        <w:t>% of guardianships ordered were full, compared with 8</w:t>
      </w:r>
      <w:r w:rsidR="00830A50">
        <w:t>4</w:t>
      </w:r>
      <w:r>
        <w:t>% of cases when the Respondent had an attorney.</w:t>
      </w:r>
    </w:p>
    <w:p w14:paraId="71CEF2D9" w14:textId="77777777" w:rsidR="00126B45" w:rsidRDefault="006E3556" w:rsidP="00126B45">
      <w:pPr>
        <w:keepNext/>
      </w:pPr>
      <w:r>
        <w:rPr>
          <w:noProof/>
          <w:sz w:val="16"/>
          <w:szCs w:val="16"/>
        </w:rPr>
        <w:lastRenderedPageBreak/>
        <w:drawing>
          <wp:inline distT="0" distB="0" distL="0" distR="0" wp14:anchorId="0BB2C8A5" wp14:editId="79243607">
            <wp:extent cx="2971800" cy="3108960"/>
            <wp:effectExtent l="0" t="0" r="0" b="0"/>
            <wp:docPr id="4" name="Chart 4" descr="Pie chart with four sections.  Largest piece showing 76% of cases resulting in full guardianship, 4% of cases resulting in limited guardianship, 19% of cases resulting in no guardianship, and 1%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D0BE0">
        <w:rPr>
          <w:noProof/>
        </w:rPr>
        <w:drawing>
          <wp:inline distT="0" distB="0" distL="0" distR="0" wp14:anchorId="6E573419" wp14:editId="7CD97C41">
            <wp:extent cx="2971800" cy="3108960"/>
            <wp:effectExtent l="0" t="0" r="0" b="0"/>
            <wp:docPr id="6" name="Chart 6" descr="Pie chart with four sections.  Largest piece showing 54% of cases resulting in full guardianship, 11% of cases resulting in limited guardianship, 34% of cases resulting in no guardianship, and 1%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16"/>
    <w:p w14:paraId="2B475D94" w14:textId="77777777" w:rsidR="00916789" w:rsidRDefault="00916789" w:rsidP="000C2B97">
      <w:pPr>
        <w:pStyle w:val="Heading3"/>
      </w:pPr>
      <w:r>
        <w:t>2020</w:t>
      </w:r>
    </w:p>
    <w:p w14:paraId="6BDDBC39" w14:textId="7793C3AF" w:rsidR="004C67A1" w:rsidRPr="00D70EB6" w:rsidRDefault="004C67A1" w:rsidP="00916789">
      <w:pPr>
        <w:rPr>
          <w:b/>
        </w:rPr>
      </w:pPr>
      <w:bookmarkStart w:id="22" w:name="_Hlk156833976"/>
      <w:r>
        <w:t>When there was no attorney, guardianships were ordered 8</w:t>
      </w:r>
      <w:r w:rsidR="00830A50">
        <w:t>2</w:t>
      </w:r>
      <w:r>
        <w:t xml:space="preserve">% of the time.  </w:t>
      </w:r>
      <w:r w:rsidRPr="00D70EB6">
        <w:rPr>
          <w:b/>
        </w:rPr>
        <w:t>When the Respondent had an attorney, the rate dropped to 7</w:t>
      </w:r>
      <w:r w:rsidR="00AD71D0">
        <w:rPr>
          <w:b/>
        </w:rPr>
        <w:t>0</w:t>
      </w:r>
      <w:r w:rsidRPr="00D70EB6">
        <w:rPr>
          <w:b/>
        </w:rPr>
        <w:t>%.</w:t>
      </w:r>
    </w:p>
    <w:p w14:paraId="348ABF28" w14:textId="2A78D1AE" w:rsidR="00BC05D5" w:rsidRDefault="00BC05D5" w:rsidP="00916789">
      <w:r>
        <w:t>With no attorney, 9</w:t>
      </w:r>
      <w:r w:rsidR="00830A50">
        <w:t>5</w:t>
      </w:r>
      <w:r>
        <w:t xml:space="preserve">% of guardianships ordered were full, compared with </w:t>
      </w:r>
      <w:r w:rsidR="00830A50">
        <w:t>80</w:t>
      </w:r>
      <w:r>
        <w:t>% of cases when the Respondent had an attorney.</w:t>
      </w:r>
    </w:p>
    <w:p w14:paraId="49D44376" w14:textId="77777777" w:rsidR="00450B95" w:rsidRDefault="00BC05D5" w:rsidP="00450B95">
      <w:pPr>
        <w:keepNext/>
      </w:pPr>
      <w:r w:rsidRPr="009A6E91">
        <w:rPr>
          <w:noProof/>
          <w:sz w:val="16"/>
          <w:szCs w:val="16"/>
        </w:rPr>
        <w:drawing>
          <wp:inline distT="0" distB="0" distL="0" distR="0" wp14:anchorId="37EDCCAF" wp14:editId="3ABC905E">
            <wp:extent cx="2971800" cy="3108960"/>
            <wp:effectExtent l="0" t="0" r="0" b="0"/>
            <wp:docPr id="24" name="Chart 24" descr="Pie chart with four sections.  Largest piece showing 78% of cases resulting in full guardianship, 4% of cases resulting in limited guardianship, 16% of cases resulting in no guardianship, and 2%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A6E91">
        <w:rPr>
          <w:noProof/>
        </w:rPr>
        <w:drawing>
          <wp:inline distT="0" distB="0" distL="0" distR="0" wp14:anchorId="726EE74E" wp14:editId="659DD795">
            <wp:extent cx="2971800" cy="3108960"/>
            <wp:effectExtent l="0" t="0" r="0" b="0"/>
            <wp:docPr id="25" name="Chart 25" descr="Pie chart with four sections.  Largest piece showing 56% of cases resulting in full guardianship, 14% of cases resulting in limited guardianship, 29% of cases resulting in no guardianship, and 1% of cases without a final or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End w:id="22"/>
    <w:p w14:paraId="3EF95774" w14:textId="77777777" w:rsidR="00591ECA" w:rsidRDefault="00591ECA">
      <w:pPr>
        <w:widowControl/>
        <w:spacing w:after="160" w:line="259" w:lineRule="auto"/>
        <w:rPr>
          <w:smallCaps/>
          <w:u w:val="single"/>
        </w:rPr>
      </w:pPr>
      <w:r>
        <w:br w:type="page"/>
      </w:r>
    </w:p>
    <w:p w14:paraId="6F2CEF37" w14:textId="77D845C4" w:rsidR="006E2820" w:rsidRDefault="006E2820" w:rsidP="000C2B97">
      <w:pPr>
        <w:pStyle w:val="Heading3"/>
      </w:pPr>
      <w:r>
        <w:lastRenderedPageBreak/>
        <w:t>2021</w:t>
      </w:r>
    </w:p>
    <w:p w14:paraId="29E1F9A8" w14:textId="3EB65BEA" w:rsidR="00920EC1" w:rsidRPr="008B3C60" w:rsidRDefault="00920EC1" w:rsidP="006E2820">
      <w:pPr>
        <w:rPr>
          <w:b/>
        </w:rPr>
      </w:pPr>
      <w:r>
        <w:t xml:space="preserve">When there was no attorney, guardianships were ordered 79% of the time.  </w:t>
      </w:r>
      <w:r w:rsidRPr="008B3C60">
        <w:rPr>
          <w:b/>
        </w:rPr>
        <w:t>When the Respondent had an attorney, the rate dropped to 6</w:t>
      </w:r>
      <w:r w:rsidR="00830A50">
        <w:rPr>
          <w:b/>
        </w:rPr>
        <w:t>7</w:t>
      </w:r>
      <w:r w:rsidRPr="008B3C60">
        <w:rPr>
          <w:b/>
        </w:rPr>
        <w:t>%</w:t>
      </w:r>
      <w:r w:rsidR="008B3C60">
        <w:rPr>
          <w:b/>
        </w:rPr>
        <w:t>.</w:t>
      </w:r>
    </w:p>
    <w:p w14:paraId="5D33726E" w14:textId="62751200" w:rsidR="00920EC1" w:rsidRDefault="00920EC1" w:rsidP="006E2820">
      <w:r w:rsidRPr="00920EC1">
        <w:t>With no attorney,</w:t>
      </w:r>
      <w:r>
        <w:t xml:space="preserve"> 9</w:t>
      </w:r>
      <w:r w:rsidR="00830A50">
        <w:t>6</w:t>
      </w:r>
      <w:r>
        <w:t>% of guardianships ordered were full, compared with 8</w:t>
      </w:r>
      <w:r w:rsidR="00830A50">
        <w:t>4</w:t>
      </w:r>
      <w:r>
        <w:t>% of cases when the Respondent had an attorney</w:t>
      </w:r>
      <w:r w:rsidR="008B3C60">
        <w:t>.</w:t>
      </w:r>
    </w:p>
    <w:p w14:paraId="19B9BBFB" w14:textId="77777777" w:rsidR="00450B95" w:rsidRDefault="00920EC1" w:rsidP="00450B95">
      <w:pPr>
        <w:keepNext/>
      </w:pPr>
      <w:r w:rsidRPr="00D0130E">
        <w:rPr>
          <w:noProof/>
        </w:rPr>
        <w:drawing>
          <wp:inline distT="0" distB="0" distL="0" distR="0" wp14:anchorId="3064A878" wp14:editId="0D1CE0B7">
            <wp:extent cx="2971800" cy="3108960"/>
            <wp:effectExtent l="0" t="0" r="0" b="0"/>
            <wp:docPr id="31" name="Chart 31" descr="Pie chart with three sections.  Largest piece showing 76% of cases resulting in full guardianship, 3% of cases resulting in limited guardianship, and 21% of cases resulting in no guardian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0130E">
        <w:rPr>
          <w:noProof/>
        </w:rPr>
        <w:drawing>
          <wp:inline distT="0" distB="0" distL="0" distR="0" wp14:anchorId="2E696F3B" wp14:editId="74CDD95F">
            <wp:extent cx="2971800" cy="3108960"/>
            <wp:effectExtent l="0" t="0" r="0" b="0"/>
            <wp:docPr id="32" name="Chart 32" descr="Pie chart with three sections.  Largest piece showing 56% of cases resulting in full guardianship, 11% of cases resulting in limited guardianship, and 33% of cases resulting in no guardian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6D53BE" w14:textId="77777777" w:rsidR="000C039B" w:rsidRDefault="000C039B" w:rsidP="00017521">
      <w:pPr>
        <w:pStyle w:val="Heading2"/>
      </w:pPr>
      <w:bookmarkStart w:id="23" w:name="_Toc179457418"/>
      <w:r w:rsidRPr="00FB0EF3">
        <w:t>Comparison</w:t>
      </w:r>
      <w:r>
        <w:t xml:space="preserve"> Across Years</w:t>
      </w:r>
      <w:r w:rsidR="0025210E">
        <w:t xml:space="preserve"> 2019-2021</w:t>
      </w:r>
      <w:bookmarkEnd w:id="23"/>
    </w:p>
    <w:p w14:paraId="4E326568" w14:textId="77777777" w:rsidR="009F5A3F" w:rsidRDefault="009F5A3F" w:rsidP="009F5A3F">
      <w:r>
        <w:t>The data tracked by DRM did not change drastically across the three years, even with the implementation of the new Probate Code in September of 2019, with its renewed emphasis on less</w:t>
      </w:r>
      <w:r w:rsidR="00977178">
        <w:t xml:space="preserve"> </w:t>
      </w:r>
      <w:r>
        <w:t>restrictive alternatives to guardianship, such as Supported Decision-Making.</w:t>
      </w:r>
    </w:p>
    <w:p w14:paraId="7E692842" w14:textId="1CA7B60F" w:rsidR="00FB444C" w:rsidRDefault="00950F7E" w:rsidP="00950F7E">
      <w:r>
        <w:t xml:space="preserve">The age distribution across the three years tracked remained fairly consistent, with approximately one-quarter of Respondents age 25 or </w:t>
      </w:r>
      <w:r w:rsidR="005F61B9">
        <w:t>younger</w:t>
      </w:r>
      <w:r>
        <w:t xml:space="preserve"> (26-27%), one-quarter of Respondents age 26-65 (23-24%) and one-half of Respondents age 66 or older (48-51%).  In all three years, by far, the largest single age of Respondents for whom guardianship was sought were for Respondents turning 18 years old (16-17% of all petitions filed).</w:t>
      </w:r>
    </w:p>
    <w:p w14:paraId="20091818" w14:textId="2F0E9E38" w:rsidR="00A26FD3" w:rsidRDefault="00CA615B" w:rsidP="00A26FD3">
      <w:pPr>
        <w:ind w:right="5310"/>
      </w:pPr>
      <w:r>
        <w:rPr>
          <w:noProof/>
        </w:rPr>
        <w:drawing>
          <wp:anchor distT="0" distB="0" distL="114300" distR="114300" simplePos="0" relativeHeight="251664384" behindDoc="1" locked="0" layoutInCell="1" allowOverlap="1" wp14:anchorId="365C607E" wp14:editId="1D964F85">
            <wp:simplePos x="0" y="0"/>
            <wp:positionH relativeFrom="margin">
              <wp:align>right</wp:align>
            </wp:positionH>
            <wp:positionV relativeFrom="paragraph">
              <wp:posOffset>9525</wp:posOffset>
            </wp:positionV>
            <wp:extent cx="3291840" cy="1476375"/>
            <wp:effectExtent l="0" t="0" r="3810" b="9525"/>
            <wp:wrapSquare wrapText="bothSides"/>
            <wp:docPr id="10" name="Chart 10" descr="Line graph with percentages on vertical axis and years 2019-2021 on horizontal axis.  One line charting rate of unrepresented Respondents overall across the 3 years: 78%, 73%, and 74%.  Second line charting rate of unrepresented Respondents with DD across the 3 years: 90%, 96%, and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9F5A3F">
        <w:t xml:space="preserve">The rate of unrepresented Respondents </w:t>
      </w:r>
      <w:r w:rsidR="00595816">
        <w:t>in 2019, 2020, and 2021</w:t>
      </w:r>
      <w:r w:rsidR="004B52A8">
        <w:t>,</w:t>
      </w:r>
      <w:r w:rsidR="00595816">
        <w:t xml:space="preserve"> </w:t>
      </w:r>
      <w:r w:rsidR="009F5A3F">
        <w:t xml:space="preserve">was </w:t>
      </w:r>
      <w:r w:rsidR="00595816">
        <w:t>78%, 73%, and 74%, respectively.  For Respondents with developmental disabilities, the rate of unrepresented Respondents across the three years was 90%, 96%, and 93%.</w:t>
      </w:r>
    </w:p>
    <w:p w14:paraId="2C9AD829" w14:textId="179646DC" w:rsidR="00A26FD3" w:rsidRDefault="00B1541D" w:rsidP="00A26FD3">
      <w:pPr>
        <w:ind w:right="5310"/>
      </w:pPr>
      <w:r w:rsidRPr="00941730">
        <w:rPr>
          <w:rFonts w:cs="Times New Roman"/>
          <w:noProof/>
        </w:rPr>
        <w:lastRenderedPageBreak/>
        <w:drawing>
          <wp:anchor distT="0" distB="0" distL="114300" distR="114300" simplePos="0" relativeHeight="251666432" behindDoc="0" locked="0" layoutInCell="1" allowOverlap="1" wp14:anchorId="74A440AA" wp14:editId="4C8C0060">
            <wp:simplePos x="0" y="0"/>
            <wp:positionH relativeFrom="margin">
              <wp:align>right</wp:align>
            </wp:positionH>
            <wp:positionV relativeFrom="paragraph">
              <wp:posOffset>142875</wp:posOffset>
            </wp:positionV>
            <wp:extent cx="3291840" cy="1600200"/>
            <wp:effectExtent l="0" t="0" r="3810" b="0"/>
            <wp:wrapSquare wrapText="bothSides"/>
            <wp:docPr id="17" name="Chart 17" descr="Line graph with percentages on vertical axis and years 2019-2021 on horizontal axis.  One line charting rate at which guardianships were ordered overall across the 3 years: 77%, 79%, and 76%.  Second line charting rate at which guardianships were ordered for people with DD across the 3 years: 90%, 95%, and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9B1022">
        <w:t>Likewise, the percentage of cases w</w:t>
      </w:r>
      <w:r w:rsidR="00B67C31">
        <w:t>hich</w:t>
      </w:r>
      <w:r w:rsidR="009B1022">
        <w:t xml:space="preserve"> resulted in guardianships being ordered remained similar across the time span at 76%, 79%, and 76%</w:t>
      </w:r>
      <w:r w:rsidR="00DF557E">
        <w:t xml:space="preserve">.  The significantly higher rates at which Respondents with developmental disabilities were subjected to guardianship also remained steady across the years at </w:t>
      </w:r>
      <w:r w:rsidR="004874D8">
        <w:t>90</w:t>
      </w:r>
      <w:r w:rsidR="00DF557E">
        <w:t>%, 9</w:t>
      </w:r>
      <w:r w:rsidR="009C3BC7">
        <w:t>5</w:t>
      </w:r>
      <w:r w:rsidR="00DF557E">
        <w:t>%, and 94%.</w:t>
      </w:r>
    </w:p>
    <w:p w14:paraId="172C0B64" w14:textId="4C181D2C" w:rsidR="001B6C4A" w:rsidRDefault="00B1541D" w:rsidP="00A26FD3">
      <w:pPr>
        <w:ind w:right="5310"/>
      </w:pPr>
      <w:r>
        <w:rPr>
          <w:rFonts w:cs="Times New Roman"/>
          <w:noProof/>
        </w:rPr>
        <w:drawing>
          <wp:anchor distT="0" distB="0" distL="114300" distR="114300" simplePos="0" relativeHeight="251668480" behindDoc="0" locked="0" layoutInCell="1" allowOverlap="1" wp14:anchorId="13CC34EA" wp14:editId="31F7524B">
            <wp:simplePos x="0" y="0"/>
            <wp:positionH relativeFrom="margin">
              <wp:align>right</wp:align>
            </wp:positionH>
            <wp:positionV relativeFrom="paragraph">
              <wp:posOffset>346710</wp:posOffset>
            </wp:positionV>
            <wp:extent cx="3291840" cy="2047875"/>
            <wp:effectExtent l="0" t="0" r="3810" b="9525"/>
            <wp:wrapSquare wrapText="bothSides"/>
            <wp:docPr id="18" name="Chart 18" descr="Line graph with percentages on vertical axis and years 2019-2021 on horizontal axis.  One line charting rate of guardianships that were full ordered across the 3 years: 93%, 91%, and 93%.  Second line charting rate of guardianships that were ordered that were full for Respondents with DD across the 3 years: 91%, 95%, and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CC10B1">
        <w:t>Of the guardianships that were ordered, full guardianships were overwhelmingly the norm, with rates of 93%, 9</w:t>
      </w:r>
      <w:r w:rsidR="009C3BC7">
        <w:t>1</w:t>
      </w:r>
      <w:r w:rsidR="00CC10B1">
        <w:t xml:space="preserve">%, and 93% across the years overall, and </w:t>
      </w:r>
      <w:r w:rsidR="004A7023">
        <w:t>91</w:t>
      </w:r>
      <w:r w:rsidR="00CC10B1">
        <w:t>%, 9</w:t>
      </w:r>
      <w:r w:rsidR="004A7023">
        <w:t>5</w:t>
      </w:r>
      <w:r w:rsidR="00CC10B1">
        <w:t>%, and 9</w:t>
      </w:r>
      <w:r w:rsidR="004A7023">
        <w:t>3</w:t>
      </w:r>
      <w:r w:rsidR="00CC10B1">
        <w:t>% for Respondents with developmental disabilities.  This is notwithstanding the fact that the amendments to the Probate Code in 2019 include a provision that “[t]</w:t>
      </w:r>
      <w:r w:rsidR="00CC10B1" w:rsidRPr="00CC10B1">
        <w:t>he court may not establish a full guardianship if a limited guardianship, protective arrangement instead of guardianship or other less restrictive alternatives would meet the needs of and provide adequate protection for the respondent.</w:t>
      </w:r>
      <w:r w:rsidR="00CC10B1">
        <w:t>”</w:t>
      </w:r>
      <w:r w:rsidR="00CC10B1">
        <w:rPr>
          <w:rStyle w:val="FootnoteReference"/>
        </w:rPr>
        <w:footnoteReference w:id="18"/>
      </w:r>
    </w:p>
    <w:p w14:paraId="0FBDB926" w14:textId="77777777" w:rsidR="00017521" w:rsidRDefault="00017521" w:rsidP="00017521">
      <w:pPr>
        <w:pStyle w:val="Heading2"/>
      </w:pPr>
      <w:bookmarkStart w:id="24" w:name="_Toc179457419"/>
      <w:r>
        <w:t>Distribution by Age of Respondent</w:t>
      </w:r>
      <w:bookmarkEnd w:id="24"/>
    </w:p>
    <w:p w14:paraId="7C7494A8" w14:textId="77777777" w:rsidR="00017521" w:rsidRPr="00054F27" w:rsidRDefault="00017521" w:rsidP="00017521">
      <w:pPr>
        <w:pStyle w:val="Heading3"/>
      </w:pPr>
      <w:r w:rsidRPr="00FD52B5">
        <w:t>2019</w:t>
      </w:r>
    </w:p>
    <w:p w14:paraId="1F77F788" w14:textId="4E665020" w:rsidR="00017521" w:rsidRDefault="00017521" w:rsidP="00017521">
      <w:bookmarkStart w:id="25" w:name="_Hlk176876799"/>
      <w:bookmarkStart w:id="26" w:name="_Hlk156833666"/>
      <w:r>
        <w:t>The age distribution of Respondents in 2019 was from 16 to 102 years of age.  By far, the largest birth year of Respondents were those born in 2001 (about 18 years old).  They comprised 1</w:t>
      </w:r>
      <w:r w:rsidR="00830A50">
        <w:t>6</w:t>
      </w:r>
      <w:r>
        <w:t>% of total petitions filed.  The second largest birth year was 2000 (about 19 years old), which comprised less than 3% of total petitions filed.  The third largest age group was those born in 1939 (about 80 years old), which comprised a</w:t>
      </w:r>
      <w:r w:rsidR="00830A50">
        <w:t>lmost 3</w:t>
      </w:r>
      <w:r>
        <w:t>%.</w:t>
      </w:r>
    </w:p>
    <w:p w14:paraId="585FD1AE" w14:textId="77777777" w:rsidR="00017521" w:rsidRDefault="00017521" w:rsidP="00017521">
      <w:pPr>
        <w:pStyle w:val="Heading3"/>
      </w:pPr>
      <w:r w:rsidRPr="00FD52B5">
        <w:t>2020</w:t>
      </w:r>
    </w:p>
    <w:p w14:paraId="6EFBDFAB" w14:textId="1F0BBC97" w:rsidR="00017521" w:rsidRDefault="00017521" w:rsidP="00017521">
      <w:r>
        <w:t>The age distribution of Respondents in 2020 was from 17 to 102 years of age.  By far, the largest birth year of Respondents were those born in 2002 (about 18 years old).  They comprised</w:t>
      </w:r>
      <w:r w:rsidR="00830A50">
        <w:t xml:space="preserve"> over</w:t>
      </w:r>
      <w:r>
        <w:t xml:space="preserve"> 16% of total petitions filed.  The second largest birth years were 2003 (about 17 years old), 1943 (about 77 years old), and 1942 (about 78 years old), each of which comprised 3</w:t>
      </w:r>
      <w:r w:rsidR="00E25C63">
        <w:t>.5</w:t>
      </w:r>
      <w:r>
        <w:t>% of total petitions filed.  The third largest age group was those born in 1939 (about 80 years old), which comprised 3</w:t>
      </w:r>
      <w:r w:rsidR="00E25C63">
        <w:t>.3</w:t>
      </w:r>
      <w:r>
        <w:t>%.</w:t>
      </w:r>
    </w:p>
    <w:p w14:paraId="4FC08CB2" w14:textId="77777777" w:rsidR="00017521" w:rsidRDefault="00017521" w:rsidP="00017521">
      <w:pPr>
        <w:pStyle w:val="Heading3"/>
      </w:pPr>
      <w:r w:rsidRPr="00FD52B5">
        <w:lastRenderedPageBreak/>
        <w:t>2021</w:t>
      </w:r>
    </w:p>
    <w:p w14:paraId="28E25FF5" w14:textId="7E7EE241" w:rsidR="00017521" w:rsidRDefault="00017521" w:rsidP="00017521">
      <w:r>
        <w:t>The age distribution of Respondents in 2021 was from 17 to 98 years of age.  By far, the largest birth year of Respondents were those born in 2003 (about 18 years old).  They comprised 1</w:t>
      </w:r>
      <w:r w:rsidR="00830A50">
        <w:t>7</w:t>
      </w:r>
      <w:r>
        <w:t>% of total petitions filed.  The second largest birth years were 2004 (about 17 years old) and 1947 (about 74 years old), each of which comprised 3</w:t>
      </w:r>
      <w:r w:rsidR="00E15AC0">
        <w:t>.3</w:t>
      </w:r>
      <w:r>
        <w:t xml:space="preserve">% of total petitions filed.  The third largest age group was those born in 2002 (about 19 years old), which comprised </w:t>
      </w:r>
      <w:r w:rsidR="00E15AC0">
        <w:t>2.9</w:t>
      </w:r>
      <w:r>
        <w:t>%.</w:t>
      </w:r>
    </w:p>
    <w:p w14:paraId="0F8804EF" w14:textId="77777777" w:rsidR="00017521" w:rsidRDefault="00017521" w:rsidP="00017521">
      <w:pPr>
        <w:rPr>
          <w:b/>
        </w:rPr>
      </w:pPr>
      <w:r w:rsidRPr="009D75DE">
        <w:rPr>
          <w:b/>
        </w:rPr>
        <w:t>Across all three years studied, transition-age youth (those turning 18) and older adults (over 70 years of age) are at the highest risk of coming under guardianship.</w:t>
      </w:r>
      <w:bookmarkEnd w:id="25"/>
    </w:p>
    <w:p w14:paraId="703210E0" w14:textId="77777777" w:rsidR="00017521" w:rsidRDefault="00017521" w:rsidP="00017521">
      <w:r>
        <w:rPr>
          <w:noProof/>
        </w:rPr>
        <w:drawing>
          <wp:inline distT="0" distB="0" distL="0" distR="0" wp14:anchorId="159F9CB8" wp14:editId="213F8867">
            <wp:extent cx="1974850" cy="4572000"/>
            <wp:effectExtent l="0" t="0" r="6350" b="0"/>
            <wp:docPr id="12" name="Chart 12" descr="Bar chart with birth year of Respondent on vertical axis and number of petitions filed on horizontal axis.  The bar for Respondents born in 2001 (i.e. those turning age 18 in 2019) is the longest bar by far, showing 130 petitions filed.  The second longest bar for birth year 2000, with 24 petitions filed.">
              <a:extLst xmlns:a="http://schemas.openxmlformats.org/drawingml/2006/main">
                <a:ext uri="{FF2B5EF4-FFF2-40B4-BE49-F238E27FC236}">
                  <a16:creationId xmlns:a16="http://schemas.microsoft.com/office/drawing/2014/main" id="{EF5AA27E-CF1B-41C3-8476-1326AFDFB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27" w:name="_Hlk174200945"/>
      <w:bookmarkEnd w:id="26"/>
      <w:r>
        <w:rPr>
          <w:noProof/>
        </w:rPr>
        <w:drawing>
          <wp:inline distT="0" distB="0" distL="0" distR="0" wp14:anchorId="2811E029" wp14:editId="53D23CC8">
            <wp:extent cx="1975104" cy="4572000"/>
            <wp:effectExtent l="0" t="0" r="6350" b="0"/>
            <wp:docPr id="35" name="Chart 35" descr="Bar chart with birth year of Respondent on vertical axis and number of petitions filed on horizontal axis.  The bar for Respondents born in 2002 (i.e. those turning age 18 in 2020) is the longest bar by far, showing 109 petitions filed.  The second longest bars for birth years 2003, 1943, and 1942, each with 23 petitions filed.">
              <a:extLst xmlns:a="http://schemas.openxmlformats.org/drawingml/2006/main">
                <a:ext uri="{FF2B5EF4-FFF2-40B4-BE49-F238E27FC236}">
                  <a16:creationId xmlns:a16="http://schemas.microsoft.com/office/drawing/2014/main" id="{613A1BB2-D587-4A2D-AF26-2041D2EF5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27"/>
      <w:r>
        <w:rPr>
          <w:noProof/>
        </w:rPr>
        <w:drawing>
          <wp:inline distT="0" distB="0" distL="0" distR="0" wp14:anchorId="08C7DF85" wp14:editId="43D6FC9B">
            <wp:extent cx="1975104" cy="4572000"/>
            <wp:effectExtent l="0" t="0" r="6350" b="0"/>
            <wp:docPr id="36" name="Chart 36" descr="Bar chart with birth year of Respondent on vertical axis and number of petitions filed on horizontal axis.  The bar for Respondents born in 2003 (i.e. those turning age 18 in 2021) is the longest bar by far, showing 141 petitions filed.  The second longest bar for birth years 2004 and 1947, each with 28 petitions filed.">
              <a:extLst xmlns:a="http://schemas.openxmlformats.org/drawingml/2006/main">
                <a:ext uri="{FF2B5EF4-FFF2-40B4-BE49-F238E27FC236}">
                  <a16:creationId xmlns:a16="http://schemas.microsoft.com/office/drawing/2014/main" id="{EFE3A81C-B84C-46FC-8DCF-EC2300459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BE493A" w14:textId="02ED3664" w:rsidR="00017521" w:rsidRDefault="00B67C31" w:rsidP="00B67C31">
      <w:pPr>
        <w:pStyle w:val="Heading3"/>
      </w:pPr>
      <w:bookmarkStart w:id="28" w:name="_Hlk176777622"/>
      <w:bookmarkStart w:id="29" w:name="_Hlk176962999"/>
      <w:r>
        <w:t xml:space="preserve">Age, Representation by Attorney, </w:t>
      </w:r>
      <w:r w:rsidR="005F61B9">
        <w:t>and</w:t>
      </w:r>
      <w:r>
        <w:t xml:space="preserve"> Rate of Appointment of Guardian</w:t>
      </w:r>
    </w:p>
    <w:p w14:paraId="5E0C069E" w14:textId="5FF8956B" w:rsidR="00B67C31" w:rsidRPr="00B67C31" w:rsidRDefault="00B67C31" w:rsidP="00B67C31">
      <w:r>
        <w:t>DRM looked at the age of the Respondent and how it correlated with both the rate of appointment of an attorney and the rate at which guardianship was ordered.</w:t>
      </w:r>
    </w:p>
    <w:p w14:paraId="0E66BF5B" w14:textId="77777777" w:rsidR="00017521" w:rsidRDefault="00B67C31" w:rsidP="00017521">
      <w:r w:rsidRPr="00B67C31">
        <w:t xml:space="preserve">In 2019, </w:t>
      </w:r>
      <w:r w:rsidR="003B0C2C">
        <w:t xml:space="preserve">for </w:t>
      </w:r>
      <w:r w:rsidR="00017521" w:rsidRPr="00B67C31">
        <w:t>Respondents</w:t>
      </w:r>
      <w:r w:rsidR="00017521">
        <w:t>:</w:t>
      </w:r>
    </w:p>
    <w:p w14:paraId="16C7C560" w14:textId="07867412" w:rsidR="00017521" w:rsidRDefault="00017521" w:rsidP="00017521">
      <w:pPr>
        <w:pStyle w:val="ListParagraph"/>
        <w:numPr>
          <w:ilvl w:val="0"/>
          <w:numId w:val="15"/>
        </w:numPr>
      </w:pPr>
      <w:r>
        <w:rPr>
          <w:b/>
        </w:rPr>
        <w:t>a</w:t>
      </w:r>
      <w:r w:rsidRPr="00CC11C0">
        <w:rPr>
          <w:b/>
        </w:rPr>
        <w:t>ge 21 and under (b. 1998 or later), 92% were not represented by an attorney</w:t>
      </w:r>
      <w:bookmarkStart w:id="30" w:name="_Hlk176960914"/>
      <w:r w:rsidR="00757466" w:rsidRPr="00757466">
        <w:t>;</w:t>
      </w:r>
    </w:p>
    <w:p w14:paraId="08EBBA03" w14:textId="73EFAB3D" w:rsidR="00017521" w:rsidRDefault="00017521" w:rsidP="00017521">
      <w:pPr>
        <w:pStyle w:val="ListParagraph"/>
        <w:numPr>
          <w:ilvl w:val="0"/>
          <w:numId w:val="15"/>
        </w:numPr>
      </w:pPr>
      <w:r>
        <w:t>a</w:t>
      </w:r>
      <w:r w:rsidRPr="005936CC">
        <w:t>ge 22-64 (b. 1997-1955), 77% had no attorney</w:t>
      </w:r>
      <w:r w:rsidR="00757466">
        <w:t>;</w:t>
      </w:r>
    </w:p>
    <w:p w14:paraId="564BB92A" w14:textId="480422E1" w:rsidR="00017521" w:rsidRDefault="00017521" w:rsidP="00017521">
      <w:pPr>
        <w:pStyle w:val="ListParagraph"/>
        <w:numPr>
          <w:ilvl w:val="0"/>
          <w:numId w:val="15"/>
        </w:numPr>
      </w:pPr>
      <w:r>
        <w:t>a</w:t>
      </w:r>
      <w:r w:rsidRPr="005936CC">
        <w:t>ge 65 and older (b. 1954 or earlier), 7</w:t>
      </w:r>
      <w:r w:rsidR="00830A50">
        <w:t>2</w:t>
      </w:r>
      <w:r w:rsidRPr="005936CC">
        <w:t>% had no attorney</w:t>
      </w:r>
      <w:r w:rsidR="00757466">
        <w:t>;</w:t>
      </w:r>
    </w:p>
    <w:p w14:paraId="320B6350" w14:textId="14FB79C8" w:rsidR="00017521" w:rsidRDefault="00017521" w:rsidP="00017521">
      <w:pPr>
        <w:pStyle w:val="ListParagraph"/>
        <w:numPr>
          <w:ilvl w:val="0"/>
          <w:numId w:val="15"/>
        </w:numPr>
      </w:pPr>
      <w:r>
        <w:lastRenderedPageBreak/>
        <w:t>a</w:t>
      </w:r>
      <w:r w:rsidRPr="005936CC">
        <w:t>ge 80 and older (b. 1939 or earlier), 7</w:t>
      </w:r>
      <w:r w:rsidR="00830A50">
        <w:t>3</w:t>
      </w:r>
      <w:r w:rsidRPr="005936CC">
        <w:t>% had no attorney.</w:t>
      </w:r>
      <w:bookmarkEnd w:id="28"/>
      <w:bookmarkEnd w:id="29"/>
      <w:bookmarkEnd w:id="30"/>
    </w:p>
    <w:p w14:paraId="79EDD2D8" w14:textId="77777777" w:rsidR="00017521" w:rsidRPr="00AE0449" w:rsidRDefault="00B67C31" w:rsidP="00017521">
      <w:r>
        <w:t>In 2019</w:t>
      </w:r>
      <w:r w:rsidR="003B0C2C">
        <w:t>,</w:t>
      </w:r>
      <w:r w:rsidR="00017521" w:rsidRPr="00AE0449">
        <w:t xml:space="preserve"> </w:t>
      </w:r>
      <w:r w:rsidR="003B0C2C">
        <w:t xml:space="preserve">for </w:t>
      </w:r>
      <w:r w:rsidR="00017521" w:rsidRPr="00AE0449">
        <w:t>Respondents:</w:t>
      </w:r>
    </w:p>
    <w:p w14:paraId="33BEA00E" w14:textId="59908E16" w:rsidR="00017521" w:rsidRPr="00CC11C0" w:rsidRDefault="00017521" w:rsidP="00017521">
      <w:pPr>
        <w:pStyle w:val="ListParagraph"/>
        <w:numPr>
          <w:ilvl w:val="0"/>
          <w:numId w:val="16"/>
        </w:numPr>
      </w:pPr>
      <w:r w:rsidRPr="00CC11C0">
        <w:rPr>
          <w:b/>
        </w:rPr>
        <w:t>age 21 and under (b. 1998 or later), 91% were placed under guardianship</w:t>
      </w:r>
      <w:r w:rsidR="00757466">
        <w:t>;</w:t>
      </w:r>
    </w:p>
    <w:p w14:paraId="330F0F08" w14:textId="52C98CF5" w:rsidR="00017521" w:rsidRDefault="00017521" w:rsidP="00017521">
      <w:pPr>
        <w:pStyle w:val="ListParagraph"/>
        <w:numPr>
          <w:ilvl w:val="0"/>
          <w:numId w:val="16"/>
        </w:numPr>
      </w:pPr>
      <w:r w:rsidRPr="005936CC">
        <w:t xml:space="preserve">age 22-64 (b. 1997-1955), </w:t>
      </w:r>
      <w:r>
        <w:t>6</w:t>
      </w:r>
      <w:r w:rsidR="00830A50">
        <w:t>7</w:t>
      </w:r>
      <w:r>
        <w:t>% were placed under guardianship</w:t>
      </w:r>
      <w:r w:rsidR="00757466">
        <w:t>;</w:t>
      </w:r>
    </w:p>
    <w:p w14:paraId="63C0667E" w14:textId="16AB1D58" w:rsidR="00017521" w:rsidRDefault="00017521" w:rsidP="00017521">
      <w:pPr>
        <w:pStyle w:val="ListParagraph"/>
        <w:numPr>
          <w:ilvl w:val="0"/>
          <w:numId w:val="16"/>
        </w:numPr>
      </w:pPr>
      <w:r w:rsidRPr="005936CC">
        <w:t xml:space="preserve">age 65 and older (b. 1954 or earlier), </w:t>
      </w:r>
      <w:r>
        <w:t>7</w:t>
      </w:r>
      <w:r w:rsidR="00830A50">
        <w:t>5</w:t>
      </w:r>
      <w:r w:rsidRPr="005936CC">
        <w:t xml:space="preserve">% </w:t>
      </w:r>
      <w:r>
        <w:t>were placed under guardianship</w:t>
      </w:r>
      <w:r w:rsidR="00757466">
        <w:t>;</w:t>
      </w:r>
    </w:p>
    <w:p w14:paraId="6728DFA4" w14:textId="44B05C10" w:rsidR="00017521" w:rsidRDefault="00017521" w:rsidP="00017521">
      <w:pPr>
        <w:pStyle w:val="ListParagraph"/>
        <w:numPr>
          <w:ilvl w:val="0"/>
          <w:numId w:val="16"/>
        </w:numPr>
      </w:pPr>
      <w:r w:rsidRPr="005936CC">
        <w:t xml:space="preserve">age 80 and older (b. 1939 or earlier), </w:t>
      </w:r>
      <w:r>
        <w:t>7</w:t>
      </w:r>
      <w:r w:rsidR="00830A50">
        <w:t>6</w:t>
      </w:r>
      <w:r>
        <w:t>% were placed under guardianship</w:t>
      </w:r>
      <w:r w:rsidRPr="005936CC">
        <w:t>.</w:t>
      </w:r>
    </w:p>
    <w:p w14:paraId="261877B0" w14:textId="77777777" w:rsidR="00017521" w:rsidRPr="000C3C44" w:rsidRDefault="003B0C2C" w:rsidP="00017521">
      <w:r w:rsidRPr="003B0C2C">
        <w:t xml:space="preserve">In </w:t>
      </w:r>
      <w:r w:rsidR="00017521" w:rsidRPr="003B0C2C">
        <w:t>2020</w:t>
      </w:r>
      <w:r w:rsidRPr="003B0C2C">
        <w:t xml:space="preserve">, </w:t>
      </w:r>
      <w:r w:rsidR="00017521" w:rsidRPr="003B0C2C">
        <w:t>for</w:t>
      </w:r>
      <w:r w:rsidR="00017521" w:rsidRPr="000C3C44">
        <w:t xml:space="preserve"> Respondents:</w:t>
      </w:r>
    </w:p>
    <w:p w14:paraId="13B45E00" w14:textId="108F70DB" w:rsidR="00017521" w:rsidRPr="00CC11C0" w:rsidRDefault="00017521" w:rsidP="00017521">
      <w:pPr>
        <w:pStyle w:val="ListParagraph"/>
        <w:numPr>
          <w:ilvl w:val="0"/>
          <w:numId w:val="17"/>
        </w:numPr>
      </w:pPr>
      <w:r w:rsidRPr="00CC11C0">
        <w:rPr>
          <w:b/>
        </w:rPr>
        <w:t>age 21 and under (b. 1999 or later), 9</w:t>
      </w:r>
      <w:r w:rsidR="00830A50">
        <w:rPr>
          <w:b/>
        </w:rPr>
        <w:t>6</w:t>
      </w:r>
      <w:r w:rsidRPr="00CC11C0">
        <w:rPr>
          <w:b/>
        </w:rPr>
        <w:t>% were not represented by an attorney</w:t>
      </w:r>
      <w:r w:rsidR="00757466">
        <w:t>;</w:t>
      </w:r>
    </w:p>
    <w:p w14:paraId="0986EF49" w14:textId="31BB966B" w:rsidR="00017521" w:rsidRDefault="00017521" w:rsidP="00017521">
      <w:pPr>
        <w:pStyle w:val="ListParagraph"/>
        <w:numPr>
          <w:ilvl w:val="0"/>
          <w:numId w:val="17"/>
        </w:numPr>
      </w:pPr>
      <w:r w:rsidRPr="003A4E9F">
        <w:t>age 22-64 (b. 1998-1956), 6</w:t>
      </w:r>
      <w:r w:rsidR="009F6460">
        <w:t>9</w:t>
      </w:r>
      <w:r w:rsidRPr="003A4E9F">
        <w:t>% had no attorney</w:t>
      </w:r>
      <w:r w:rsidR="00757466">
        <w:t>;</w:t>
      </w:r>
    </w:p>
    <w:p w14:paraId="1896695C" w14:textId="306FEC5A" w:rsidR="00017521" w:rsidRDefault="00017521" w:rsidP="00017521">
      <w:pPr>
        <w:pStyle w:val="ListParagraph"/>
        <w:numPr>
          <w:ilvl w:val="0"/>
          <w:numId w:val="17"/>
        </w:numPr>
      </w:pPr>
      <w:r w:rsidRPr="003A4E9F">
        <w:t>age 65 and older (b. 1955 or earlier), 6</w:t>
      </w:r>
      <w:r w:rsidR="009F6460">
        <w:t>5</w:t>
      </w:r>
      <w:r w:rsidRPr="003A4E9F">
        <w:t>% had no attorney</w:t>
      </w:r>
      <w:r w:rsidR="00757466">
        <w:t>;</w:t>
      </w:r>
    </w:p>
    <w:p w14:paraId="5D54BDD8" w14:textId="04C303E4" w:rsidR="00017521" w:rsidRDefault="00017521" w:rsidP="00017521">
      <w:pPr>
        <w:pStyle w:val="ListParagraph"/>
        <w:numPr>
          <w:ilvl w:val="0"/>
          <w:numId w:val="17"/>
        </w:numPr>
      </w:pPr>
      <w:r w:rsidRPr="003A4E9F">
        <w:t>age 80 and older (b. 1940 or earlier), 6</w:t>
      </w:r>
      <w:r w:rsidR="009F6460">
        <w:t>3</w:t>
      </w:r>
      <w:r w:rsidRPr="003A4E9F">
        <w:t>% had no attorney.</w:t>
      </w:r>
    </w:p>
    <w:p w14:paraId="1703F5FE" w14:textId="77777777" w:rsidR="00017521" w:rsidRPr="00AE0449" w:rsidRDefault="003B0C2C" w:rsidP="00017521">
      <w:r>
        <w:t xml:space="preserve">In 2020, </w:t>
      </w:r>
      <w:r w:rsidR="00017521" w:rsidRPr="00AE0449">
        <w:t>for Respondents:</w:t>
      </w:r>
    </w:p>
    <w:p w14:paraId="0E00C1AE" w14:textId="19F77EEB" w:rsidR="00017521" w:rsidRPr="00D65E56" w:rsidRDefault="00017521" w:rsidP="00017521">
      <w:pPr>
        <w:pStyle w:val="ListParagraph"/>
        <w:numPr>
          <w:ilvl w:val="0"/>
          <w:numId w:val="18"/>
        </w:numPr>
      </w:pPr>
      <w:r w:rsidRPr="00D65E56">
        <w:rPr>
          <w:b/>
        </w:rPr>
        <w:t>age 21 and under (b. 1999 or later), 96% were placed under guardianship</w:t>
      </w:r>
      <w:r w:rsidR="00757466">
        <w:t>;</w:t>
      </w:r>
    </w:p>
    <w:p w14:paraId="4E12F0B9" w14:textId="36F99760" w:rsidR="00017521" w:rsidRDefault="00017521" w:rsidP="00017521">
      <w:pPr>
        <w:pStyle w:val="ListParagraph"/>
        <w:numPr>
          <w:ilvl w:val="0"/>
          <w:numId w:val="18"/>
        </w:numPr>
      </w:pPr>
      <w:r w:rsidRPr="005936CC">
        <w:t>age 22-64 (b. 199</w:t>
      </w:r>
      <w:r>
        <w:t>8</w:t>
      </w:r>
      <w:r w:rsidRPr="005936CC">
        <w:t>-195</w:t>
      </w:r>
      <w:r>
        <w:t>6</w:t>
      </w:r>
      <w:r w:rsidRPr="005936CC">
        <w:t xml:space="preserve">), </w:t>
      </w:r>
      <w:r>
        <w:t>6</w:t>
      </w:r>
      <w:r w:rsidR="009F6460">
        <w:t>7</w:t>
      </w:r>
      <w:r>
        <w:t>% were placed under guardianship</w:t>
      </w:r>
      <w:r w:rsidR="00757466">
        <w:t>;</w:t>
      </w:r>
    </w:p>
    <w:p w14:paraId="47A9D21B" w14:textId="1311DF91" w:rsidR="00017521" w:rsidRDefault="00017521" w:rsidP="00017521">
      <w:pPr>
        <w:pStyle w:val="ListParagraph"/>
        <w:numPr>
          <w:ilvl w:val="0"/>
          <w:numId w:val="18"/>
        </w:numPr>
      </w:pPr>
      <w:r w:rsidRPr="005936CC">
        <w:t>age 65 and older (b. 195</w:t>
      </w:r>
      <w:r>
        <w:t>5</w:t>
      </w:r>
      <w:r w:rsidRPr="005936CC">
        <w:t xml:space="preserve"> or earlier), </w:t>
      </w:r>
      <w:r>
        <w:t>7</w:t>
      </w:r>
      <w:r w:rsidR="009F6460">
        <w:t>7</w:t>
      </w:r>
      <w:r w:rsidRPr="005936CC">
        <w:t xml:space="preserve">% </w:t>
      </w:r>
      <w:r>
        <w:t>were placed under guardianship</w:t>
      </w:r>
      <w:r w:rsidR="00757466">
        <w:t>;</w:t>
      </w:r>
    </w:p>
    <w:p w14:paraId="58EE3B09" w14:textId="1DF59DF5" w:rsidR="00017521" w:rsidRPr="003B0C2C" w:rsidRDefault="00017521" w:rsidP="00017521">
      <w:pPr>
        <w:pStyle w:val="ListParagraph"/>
        <w:numPr>
          <w:ilvl w:val="0"/>
          <w:numId w:val="18"/>
        </w:numPr>
      </w:pPr>
      <w:r w:rsidRPr="003B0C2C">
        <w:t>age 80 and older (b. 1940 or earlier), 7</w:t>
      </w:r>
      <w:r w:rsidR="009F6460">
        <w:t>7</w:t>
      </w:r>
      <w:r w:rsidRPr="003B0C2C">
        <w:t>% were placed under guardianship</w:t>
      </w:r>
      <w:r w:rsidR="00757466">
        <w:t>.</w:t>
      </w:r>
    </w:p>
    <w:p w14:paraId="465BB152" w14:textId="77777777" w:rsidR="00017521" w:rsidRPr="000C3C44" w:rsidRDefault="003B0C2C" w:rsidP="00017521">
      <w:r w:rsidRPr="003B0C2C">
        <w:t xml:space="preserve">In </w:t>
      </w:r>
      <w:r w:rsidR="00017521" w:rsidRPr="003B0C2C">
        <w:t>2021</w:t>
      </w:r>
      <w:r w:rsidRPr="003B0C2C">
        <w:t>,</w:t>
      </w:r>
      <w:bookmarkStart w:id="31" w:name="_Hlk176960183"/>
      <w:r w:rsidR="00017521" w:rsidRPr="003B0C2C">
        <w:t xml:space="preserve"> for</w:t>
      </w:r>
      <w:r w:rsidR="00017521" w:rsidRPr="000C3C44">
        <w:t xml:space="preserve"> Respondents:</w:t>
      </w:r>
    </w:p>
    <w:p w14:paraId="46AE6397" w14:textId="4EF7AE36" w:rsidR="00017521" w:rsidRPr="00D65E56" w:rsidRDefault="00017521" w:rsidP="00017521">
      <w:pPr>
        <w:pStyle w:val="ListParagraph"/>
        <w:numPr>
          <w:ilvl w:val="0"/>
          <w:numId w:val="19"/>
        </w:numPr>
      </w:pPr>
      <w:r w:rsidRPr="00D65E56">
        <w:rPr>
          <w:b/>
        </w:rPr>
        <w:t>age 21 and under (b. 2000 or later), 9</w:t>
      </w:r>
      <w:r w:rsidR="009F6460">
        <w:rPr>
          <w:b/>
        </w:rPr>
        <w:t>3</w:t>
      </w:r>
      <w:r w:rsidRPr="00D65E56">
        <w:rPr>
          <w:b/>
        </w:rPr>
        <w:t>% were not represented by an attorney</w:t>
      </w:r>
      <w:r w:rsidR="00757466">
        <w:t>;</w:t>
      </w:r>
    </w:p>
    <w:p w14:paraId="2B2F78AA" w14:textId="399BDA21" w:rsidR="00017521" w:rsidRDefault="00017521" w:rsidP="00017521">
      <w:pPr>
        <w:pStyle w:val="ListParagraph"/>
        <w:numPr>
          <w:ilvl w:val="0"/>
          <w:numId w:val="19"/>
        </w:numPr>
      </w:pPr>
      <w:r w:rsidRPr="005936CC">
        <w:t>age 22-64 (b. 1999-1957), 68% had no attorney</w:t>
      </w:r>
      <w:r w:rsidR="00757466">
        <w:t>;</w:t>
      </w:r>
    </w:p>
    <w:p w14:paraId="5734DF4F" w14:textId="0294A80B" w:rsidR="00017521" w:rsidRDefault="00017521" w:rsidP="00017521">
      <w:pPr>
        <w:pStyle w:val="ListParagraph"/>
        <w:numPr>
          <w:ilvl w:val="0"/>
          <w:numId w:val="19"/>
        </w:numPr>
      </w:pPr>
      <w:r w:rsidRPr="005936CC">
        <w:t>age 65 and older (b. 1956 or earlier), 67% had no attorney</w:t>
      </w:r>
      <w:r w:rsidR="00757466">
        <w:t>;</w:t>
      </w:r>
    </w:p>
    <w:p w14:paraId="2267B377" w14:textId="1C19A4A4" w:rsidR="00017521" w:rsidRDefault="00017521" w:rsidP="00017521">
      <w:pPr>
        <w:pStyle w:val="ListParagraph"/>
        <w:numPr>
          <w:ilvl w:val="0"/>
          <w:numId w:val="19"/>
        </w:numPr>
      </w:pPr>
      <w:r w:rsidRPr="005936CC">
        <w:t>age 80 and older (b. 1941 or earlier</w:t>
      </w:r>
      <w:r>
        <w:t>)</w:t>
      </w:r>
      <w:r w:rsidRPr="005936CC">
        <w:t>, 6</w:t>
      </w:r>
      <w:r w:rsidR="009F6460">
        <w:t>8</w:t>
      </w:r>
      <w:r w:rsidRPr="005936CC">
        <w:t>% had no attorney.</w:t>
      </w:r>
      <w:bookmarkEnd w:id="31"/>
    </w:p>
    <w:p w14:paraId="7F5CA6EE" w14:textId="77777777" w:rsidR="00017521" w:rsidRPr="00AE0449" w:rsidRDefault="003B0C2C" w:rsidP="00017521">
      <w:r>
        <w:t xml:space="preserve">In 2021, </w:t>
      </w:r>
      <w:r w:rsidR="00017521" w:rsidRPr="00AE0449">
        <w:t>for Respondents:</w:t>
      </w:r>
    </w:p>
    <w:p w14:paraId="207CFC56" w14:textId="2C71117B" w:rsidR="00017521" w:rsidRPr="00D65E56" w:rsidRDefault="00017521" w:rsidP="00017521">
      <w:pPr>
        <w:pStyle w:val="ListParagraph"/>
        <w:numPr>
          <w:ilvl w:val="0"/>
          <w:numId w:val="20"/>
        </w:numPr>
      </w:pPr>
      <w:r w:rsidRPr="00D65E56">
        <w:rPr>
          <w:b/>
        </w:rPr>
        <w:t>age 21 and under (b. 2000 or later), 92% were placed under guardianship</w:t>
      </w:r>
      <w:r w:rsidR="00757466">
        <w:t>;</w:t>
      </w:r>
    </w:p>
    <w:p w14:paraId="75E93D17" w14:textId="26C68FC2" w:rsidR="00017521" w:rsidRDefault="00017521" w:rsidP="00017521">
      <w:pPr>
        <w:pStyle w:val="ListParagraph"/>
        <w:numPr>
          <w:ilvl w:val="0"/>
          <w:numId w:val="20"/>
        </w:numPr>
      </w:pPr>
      <w:r>
        <w:t>a</w:t>
      </w:r>
      <w:r w:rsidRPr="005936CC">
        <w:t>ge 22-64 (b. 199</w:t>
      </w:r>
      <w:r>
        <w:t>9</w:t>
      </w:r>
      <w:r w:rsidRPr="005936CC">
        <w:t>-195</w:t>
      </w:r>
      <w:r>
        <w:t>7</w:t>
      </w:r>
      <w:r w:rsidRPr="005936CC">
        <w:t xml:space="preserve">), </w:t>
      </w:r>
      <w:r>
        <w:t>6</w:t>
      </w:r>
      <w:r w:rsidR="009F6460">
        <w:t>9</w:t>
      </w:r>
      <w:r>
        <w:t>% were placed under guardianship</w:t>
      </w:r>
      <w:r w:rsidR="00757466">
        <w:t>;</w:t>
      </w:r>
    </w:p>
    <w:p w14:paraId="0FD990FF" w14:textId="6CA9DA09" w:rsidR="00017521" w:rsidRDefault="00017521" w:rsidP="00017521">
      <w:pPr>
        <w:pStyle w:val="ListParagraph"/>
        <w:numPr>
          <w:ilvl w:val="0"/>
          <w:numId w:val="20"/>
        </w:numPr>
      </w:pPr>
      <w:r w:rsidRPr="005936CC">
        <w:t>age 65 and older (b. 195</w:t>
      </w:r>
      <w:r>
        <w:t>6</w:t>
      </w:r>
      <w:r w:rsidRPr="005936CC">
        <w:t xml:space="preserve"> or earlier), </w:t>
      </w:r>
      <w:r>
        <w:t>71</w:t>
      </w:r>
      <w:r w:rsidRPr="005936CC">
        <w:t xml:space="preserve">% </w:t>
      </w:r>
      <w:r>
        <w:t>were placed under guardianship</w:t>
      </w:r>
      <w:r w:rsidR="00757466">
        <w:t>;</w:t>
      </w:r>
    </w:p>
    <w:p w14:paraId="289C4102" w14:textId="5168D1B0" w:rsidR="00017521" w:rsidRDefault="00017521" w:rsidP="00FB0EF3">
      <w:pPr>
        <w:pStyle w:val="ListParagraph"/>
        <w:numPr>
          <w:ilvl w:val="0"/>
          <w:numId w:val="20"/>
        </w:numPr>
      </w:pPr>
      <w:r w:rsidRPr="005936CC">
        <w:t>age 80 and older (b. 19</w:t>
      </w:r>
      <w:r>
        <w:t>41</w:t>
      </w:r>
      <w:r w:rsidRPr="005936CC">
        <w:t xml:space="preserve"> or earlier), </w:t>
      </w:r>
      <w:r>
        <w:t>7</w:t>
      </w:r>
      <w:r w:rsidR="009F6460">
        <w:t>5</w:t>
      </w:r>
      <w:r>
        <w:t>% were placed under guardianship</w:t>
      </w:r>
      <w:r w:rsidRPr="005936CC">
        <w:t>.</w:t>
      </w:r>
    </w:p>
    <w:p w14:paraId="0D76B050" w14:textId="3E3375DA" w:rsidR="00F81577" w:rsidRDefault="009708B0" w:rsidP="001B546C">
      <w:pPr>
        <w:pStyle w:val="Heading1"/>
      </w:pPr>
      <w:bookmarkStart w:id="32" w:name="_Toc179457420"/>
      <w:r w:rsidRPr="00AE0449">
        <w:t>Conclusions</w:t>
      </w:r>
      <w:bookmarkEnd w:id="32"/>
    </w:p>
    <w:p w14:paraId="1FF4D8D3" w14:textId="45B132CC" w:rsidR="00316A31" w:rsidRPr="00D86896" w:rsidRDefault="00591B00" w:rsidP="00CD54C7">
      <w:bookmarkStart w:id="33" w:name="_Hlk177499891"/>
      <w:r>
        <w:t>G</w:t>
      </w:r>
      <w:r w:rsidR="00AA54D7">
        <w:t>uardianship is one of the most restrictive arrangements that a person can experience</w:t>
      </w:r>
      <w:r w:rsidR="005F34DA">
        <w:t xml:space="preserve">; </w:t>
      </w:r>
      <w:r w:rsidR="00AA54D7">
        <w:t>it involve</w:t>
      </w:r>
      <w:r>
        <w:t>s</w:t>
      </w:r>
      <w:r w:rsidR="00AA54D7">
        <w:t xml:space="preserve"> the removal of almost all of a person’s civil and legal rights.  </w:t>
      </w:r>
      <w:r w:rsidR="00DE21DE" w:rsidRPr="000431EA">
        <w:rPr>
          <w:b/>
        </w:rPr>
        <w:t xml:space="preserve">Across the three years studied, </w:t>
      </w:r>
      <w:r w:rsidR="00EA0117">
        <w:rPr>
          <w:b/>
        </w:rPr>
        <w:t>about 75%</w:t>
      </w:r>
      <w:r w:rsidR="00DE21DE" w:rsidRPr="000431EA">
        <w:rPr>
          <w:b/>
        </w:rPr>
        <w:t xml:space="preserve"> of</w:t>
      </w:r>
      <w:r w:rsidR="00EA0117">
        <w:rPr>
          <w:b/>
        </w:rPr>
        <w:t xml:space="preserve"> Respondents in guardianship proceedings</w:t>
      </w:r>
      <w:r w:rsidR="00DE21DE" w:rsidRPr="000431EA">
        <w:rPr>
          <w:b/>
        </w:rPr>
        <w:t xml:space="preserve"> had no legal representation.</w:t>
      </w:r>
      <w:r w:rsidR="00DE21DE" w:rsidRPr="00DE21DE">
        <w:t xml:space="preserve">  </w:t>
      </w:r>
      <w:r w:rsidR="00AA54D7">
        <w:t xml:space="preserve">There </w:t>
      </w:r>
      <w:r w:rsidR="00E2490D">
        <w:t>is</w:t>
      </w:r>
      <w:r w:rsidR="005F34DA">
        <w:t xml:space="preserve"> no other </w:t>
      </w:r>
      <w:r w:rsidR="00AA54D7">
        <w:t>legal</w:t>
      </w:r>
      <w:r w:rsidR="005F34DA">
        <w:t xml:space="preserve"> process that affect</w:t>
      </w:r>
      <w:r w:rsidR="00E2490D">
        <w:t>s</w:t>
      </w:r>
      <w:r w:rsidR="00AA54D7">
        <w:t xml:space="preserve"> such fundamental rights that do</w:t>
      </w:r>
      <w:r w:rsidR="00E2490D">
        <w:t>es</w:t>
      </w:r>
      <w:r w:rsidR="00007318">
        <w:t xml:space="preserve"> not also guarantee the appointment of an attorney</w:t>
      </w:r>
      <w:r w:rsidR="0059037C">
        <w:t>.</w:t>
      </w:r>
      <w:r w:rsidR="00007318">
        <w:t xml:space="preserve">  Adult guardianship is</w:t>
      </w:r>
      <w:r w:rsidR="00DE21DE">
        <w:t xml:space="preserve"> unique</w:t>
      </w:r>
      <w:r w:rsidR="00007318">
        <w:t xml:space="preserve"> in </w:t>
      </w:r>
      <w:r w:rsidR="00DE21DE">
        <w:t xml:space="preserve">removing basic rights of people who </w:t>
      </w:r>
      <w:r w:rsidR="000431EA">
        <w:t>overwhelmingly</w:t>
      </w:r>
      <w:r w:rsidR="00DE21DE">
        <w:t xml:space="preserve"> do not have the benefit of counsel.  An attorney plays a unique role in this </w:t>
      </w:r>
      <w:r w:rsidR="00DE21DE">
        <w:lastRenderedPageBreak/>
        <w:t xml:space="preserve">process.  </w:t>
      </w:r>
      <w:r w:rsidR="00007318">
        <w:t>No one except the attorney for the Respondent is specifically tasked with advocating for the Respondent’s wishes</w:t>
      </w:r>
      <w:r w:rsidR="00F460C2">
        <w:t>.</w:t>
      </w:r>
    </w:p>
    <w:p w14:paraId="13E0BBFE" w14:textId="5B638B2C" w:rsidR="00164673" w:rsidRPr="00D86896" w:rsidRDefault="00164673" w:rsidP="00CD54C7">
      <w:r w:rsidRPr="00D86896">
        <w:t>The decision to accept a person’s consent to guardianship without the aid of counsel is paradoxical</w:t>
      </w:r>
      <w:r w:rsidR="00E66C6D" w:rsidRPr="00D86896">
        <w:t>.</w:t>
      </w:r>
      <w:r w:rsidRPr="00D86896">
        <w:t xml:space="preserve"> </w:t>
      </w:r>
      <w:r w:rsidR="00E66C6D" w:rsidRPr="00D86896">
        <w:t xml:space="preserve"> O</w:t>
      </w:r>
      <w:r w:rsidRPr="00D86896">
        <w:t>n the one hand, in appointing a guardian, the court accept</w:t>
      </w:r>
      <w:r w:rsidR="00E66C6D" w:rsidRPr="00D86896">
        <w:t>s</w:t>
      </w:r>
      <w:r w:rsidRPr="00D86896">
        <w:t xml:space="preserve"> the premise that the person lacks capacity to make </w:t>
      </w:r>
      <w:r w:rsidR="00D86896" w:rsidRPr="00D86896">
        <w:t xml:space="preserve">their own </w:t>
      </w:r>
      <w:r w:rsidRPr="00D86896">
        <w:t>decisions</w:t>
      </w:r>
      <w:r w:rsidR="00E66C6D" w:rsidRPr="00D86896">
        <w:t>.  O</w:t>
      </w:r>
      <w:r w:rsidRPr="00D86896">
        <w:t xml:space="preserve">n the other hand, </w:t>
      </w:r>
      <w:r w:rsidR="00757466">
        <w:t xml:space="preserve">in declining to appoint counsel, </w:t>
      </w:r>
      <w:r w:rsidRPr="00D86896">
        <w:t xml:space="preserve">the court also accepts </w:t>
      </w:r>
      <w:r w:rsidR="00D86896" w:rsidRPr="00D86896">
        <w:t xml:space="preserve">that </w:t>
      </w:r>
      <w:r w:rsidRPr="00D86896">
        <w:t>the person</w:t>
      </w:r>
      <w:r w:rsidR="00E66C6D" w:rsidRPr="00D86896">
        <w:t xml:space="preserve"> has capacity</w:t>
      </w:r>
      <w:r w:rsidRPr="00D86896">
        <w:t xml:space="preserve"> to make the most important decision</w:t>
      </w:r>
      <w:r w:rsidR="00E66C6D" w:rsidRPr="00D86896">
        <w:t xml:space="preserve"> of all: </w:t>
      </w:r>
      <w:r w:rsidRPr="00D86896">
        <w:t>to surrender most of their basic rights.</w:t>
      </w:r>
    </w:p>
    <w:p w14:paraId="1221193F" w14:textId="631825C5" w:rsidR="00E2490D" w:rsidRDefault="00E2490D" w:rsidP="00CD54C7">
      <w:r w:rsidRPr="00E2490D">
        <w:t xml:space="preserve">Respondents who had developmental disabilities were far more likely to </w:t>
      </w:r>
      <w:r w:rsidR="0059037C">
        <w:t>be unrepresented</w:t>
      </w:r>
      <w:r w:rsidR="00EA0117">
        <w:t xml:space="preserve"> than Respondents overall</w:t>
      </w:r>
      <w:r w:rsidRPr="00E2490D">
        <w:t xml:space="preserve">.  </w:t>
      </w:r>
      <w:r w:rsidR="004918E8">
        <w:t>75% of all</w:t>
      </w:r>
      <w:r w:rsidRPr="00E2490D">
        <w:t xml:space="preserve"> of Respondents </w:t>
      </w:r>
      <w:r w:rsidR="004918E8">
        <w:t>were</w:t>
      </w:r>
      <w:r w:rsidRPr="00E2490D">
        <w:t xml:space="preserve"> unrepresented</w:t>
      </w:r>
      <w:r w:rsidR="0059037C">
        <w:t xml:space="preserve"> overall</w:t>
      </w:r>
      <w:r w:rsidRPr="00E2490D">
        <w:t>,</w:t>
      </w:r>
      <w:r w:rsidR="0059037C">
        <w:t xml:space="preserve"> while</w:t>
      </w:r>
      <w:r w:rsidRPr="00E2490D">
        <w:t xml:space="preserve"> </w:t>
      </w:r>
      <w:r w:rsidRPr="00EA0117">
        <w:rPr>
          <w:b/>
        </w:rPr>
        <w:t xml:space="preserve">at least 90% </w:t>
      </w:r>
      <w:r w:rsidRPr="00C76139">
        <w:rPr>
          <w:b/>
        </w:rPr>
        <w:t>of Respondents with developmental disabilities went without lawyers</w:t>
      </w:r>
      <w:r w:rsidR="005F61B9">
        <w:t xml:space="preserve">. </w:t>
      </w:r>
      <w:r w:rsidRPr="00C76139">
        <w:rPr>
          <w:b/>
        </w:rPr>
        <w:t xml:space="preserve"> </w:t>
      </w:r>
      <w:r w:rsidRPr="00C76139">
        <w:t>(</w:t>
      </w:r>
      <w:r w:rsidR="005F61B9">
        <w:t>I</w:t>
      </w:r>
      <w:r w:rsidR="003E5830">
        <w:t xml:space="preserve">n 2020, </w:t>
      </w:r>
      <w:r w:rsidRPr="00C76139">
        <w:t>96% had no attorney</w:t>
      </w:r>
      <w:r w:rsidR="005F61B9">
        <w:t>.</w:t>
      </w:r>
      <w:r w:rsidRPr="00C76139">
        <w:t>)</w:t>
      </w:r>
      <w:r w:rsidRPr="00E2490D">
        <w:t xml:space="preserve">  </w:t>
      </w:r>
      <w:r w:rsidR="00C76139">
        <w:t xml:space="preserve">In other words, only 25% of Respondents had attorneys in general, but only 10% of Respondents with labels of DD had an attorney to represent their interests.  </w:t>
      </w:r>
      <w:r w:rsidR="00757466">
        <w:t>T</w:t>
      </w:r>
      <w:r w:rsidRPr="00E2490D">
        <w:t xml:space="preserve">he National Council on Disability attributed this to “widely held stereotypes about [the] ability [of people with developmental disabilities] to make decisions and function as adults,” as well as the existence of the school-to-guardianship pipeline.  This study does not speak to the reasons why this is the case, </w:t>
      </w:r>
      <w:r w:rsidR="002412D7">
        <w:t xml:space="preserve">but </w:t>
      </w:r>
      <w:r w:rsidR="005F61B9">
        <w:t>it</w:t>
      </w:r>
      <w:r w:rsidRPr="00E2490D">
        <w:t xml:space="preserve"> is an area worth exploring further.</w:t>
      </w:r>
    </w:p>
    <w:p w14:paraId="1AD2534A" w14:textId="02567B23" w:rsidR="00143E80" w:rsidRDefault="00E2490D" w:rsidP="00CD54C7">
      <w:r>
        <w:t>D</w:t>
      </w:r>
      <w:r w:rsidR="00F460C2">
        <w:t xml:space="preserve">espite the Probate Code’s </w:t>
      </w:r>
      <w:r w:rsidR="00EA0117">
        <w:t xml:space="preserve">recognition of the extremity of guardianship and its </w:t>
      </w:r>
      <w:r w:rsidR="00F460C2">
        <w:t>mandate to grant guardianship only when no less restricti</w:t>
      </w:r>
      <w:r w:rsidR="000431EA">
        <w:t>ve</w:t>
      </w:r>
      <w:r w:rsidR="00F460C2">
        <w:t xml:space="preserve"> options are available, </w:t>
      </w:r>
      <w:r w:rsidR="00245B0A">
        <w:t>77</w:t>
      </w:r>
      <w:r w:rsidR="00EA0117">
        <w:rPr>
          <w:b/>
        </w:rPr>
        <w:t>%</w:t>
      </w:r>
      <w:r w:rsidR="000431EA" w:rsidRPr="000431EA">
        <w:rPr>
          <w:b/>
        </w:rPr>
        <w:t xml:space="preserve"> of</w:t>
      </w:r>
      <w:r w:rsidR="00A311FE" w:rsidRPr="000431EA">
        <w:rPr>
          <w:b/>
        </w:rPr>
        <w:t xml:space="preserve"> cases</w:t>
      </w:r>
      <w:r w:rsidR="00F460C2" w:rsidRPr="000431EA">
        <w:rPr>
          <w:b/>
        </w:rPr>
        <w:t xml:space="preserve"> resulted in a guardian being appointed</w:t>
      </w:r>
      <w:r w:rsidR="00245B0A">
        <w:rPr>
          <w:b/>
        </w:rPr>
        <w:t xml:space="preserve"> </w:t>
      </w:r>
      <w:r w:rsidR="00245B0A">
        <w:t>across the three years studied</w:t>
      </w:r>
      <w:r w:rsidR="00F460C2" w:rsidRPr="00245B0A">
        <w:t>.</w:t>
      </w:r>
      <w:r w:rsidR="00F460C2">
        <w:t xml:space="preserve">  </w:t>
      </w:r>
      <w:r w:rsidR="0085187C">
        <w:t>And of the guardianships that were ordered</w:t>
      </w:r>
      <w:r w:rsidR="00EA0117">
        <w:t>,</w:t>
      </w:r>
      <w:r w:rsidR="0085187C">
        <w:t xml:space="preserve"> </w:t>
      </w:r>
      <w:r w:rsidR="0085187C" w:rsidRPr="000431EA">
        <w:rPr>
          <w:b/>
        </w:rPr>
        <w:t>over 90% were full guardianship</w:t>
      </w:r>
      <w:r w:rsidR="000431EA" w:rsidRPr="000431EA">
        <w:rPr>
          <w:b/>
        </w:rPr>
        <w:t>s</w:t>
      </w:r>
      <w:r w:rsidR="0085187C">
        <w:t xml:space="preserve"> across all three years</w:t>
      </w:r>
      <w:r w:rsidR="00845437">
        <w:t xml:space="preserve">.  </w:t>
      </w:r>
      <w:r w:rsidR="00C76139">
        <w:t>T</w:t>
      </w:r>
      <w:r w:rsidR="0085187C">
        <w:t xml:space="preserve">he Probate Code favors the </w:t>
      </w:r>
      <w:r w:rsidR="00EA0117">
        <w:t>minimal removal of</w:t>
      </w:r>
      <w:r w:rsidR="0085187C">
        <w:t xml:space="preserve"> rights over full guardianship</w:t>
      </w:r>
      <w:r w:rsidR="00143E80">
        <w:t>: “</w:t>
      </w:r>
      <w:r w:rsidR="00143E80" w:rsidRPr="00143E80">
        <w:t>The court may not establish a full guardianship if a limited guardianship, protective arrangement instead of guardianship or other less restrictive alternatives would meet the needs of and provide adequate protection for the respondent.</w:t>
      </w:r>
      <w:r w:rsidR="00143E80">
        <w:t>”</w:t>
      </w:r>
      <w:r w:rsidR="00143E80">
        <w:rPr>
          <w:rStyle w:val="FootnoteReference"/>
        </w:rPr>
        <w:footnoteReference w:id="19"/>
      </w:r>
      <w:r w:rsidR="00136EE9">
        <w:t xml:space="preserve">  </w:t>
      </w:r>
      <w:r w:rsidR="00EA0117">
        <w:t>The rate</w:t>
      </w:r>
      <w:r w:rsidR="00610E0B">
        <w:t xml:space="preserve"> of appointment of guardians, including</w:t>
      </w:r>
      <w:r w:rsidR="00EA0117">
        <w:t xml:space="preserve"> full guardians</w:t>
      </w:r>
      <w:r w:rsidR="00610E0B">
        <w:t xml:space="preserve">hip, </w:t>
      </w:r>
      <w:r w:rsidR="00EA0117">
        <w:t>did not drop in the two years after the Probate Code adopted this language.</w:t>
      </w:r>
    </w:p>
    <w:p w14:paraId="11D209B7" w14:textId="2F101142" w:rsidR="00E2490D" w:rsidRDefault="00E2490D" w:rsidP="00E2490D">
      <w:r w:rsidRPr="00816840">
        <w:t xml:space="preserve">Individuals with developmental disabilities were placed under guardianship at far higher rates than the average.  </w:t>
      </w:r>
      <w:r w:rsidR="00C76139" w:rsidRPr="00C76139">
        <w:rPr>
          <w:b/>
        </w:rPr>
        <w:t>M</w:t>
      </w:r>
      <w:r w:rsidRPr="00E2490D">
        <w:rPr>
          <w:b/>
        </w:rPr>
        <w:t xml:space="preserve">ore than </w:t>
      </w:r>
      <w:r w:rsidR="00875925">
        <w:rPr>
          <w:b/>
        </w:rPr>
        <w:t>90</w:t>
      </w:r>
      <w:r w:rsidRPr="00E2490D">
        <w:rPr>
          <w:b/>
        </w:rPr>
        <w:t>% of cases in which the Respondent had a developmental disability resulted in the appointment of a guardian</w:t>
      </w:r>
      <w:r w:rsidR="005F61B9">
        <w:t xml:space="preserve">. </w:t>
      </w:r>
      <w:r w:rsidRPr="00E2490D">
        <w:t xml:space="preserve"> (</w:t>
      </w:r>
      <w:r w:rsidR="005F61B9">
        <w:t>I</w:t>
      </w:r>
      <w:r w:rsidRPr="00E2490D">
        <w:t>n 2020, guardians were appointed in 9</w:t>
      </w:r>
      <w:r w:rsidR="0027569D">
        <w:t>5</w:t>
      </w:r>
      <w:r w:rsidRPr="00E2490D">
        <w:t>% of cases</w:t>
      </w:r>
      <w:r w:rsidR="005F61B9">
        <w:t>.</w:t>
      </w:r>
      <w:r w:rsidRPr="00E2490D">
        <w:t>)</w:t>
      </w:r>
    </w:p>
    <w:p w14:paraId="25F73722" w14:textId="2B74BF7C" w:rsidR="00C76139" w:rsidRDefault="00815A92" w:rsidP="00CD54C7">
      <w:r>
        <w:t xml:space="preserve">Respondents age 21 and younger had by far the highest rates of appointments of guardians and the lowest rates of appointments of attorneys.  This is likely due to the fact that this younger age group correlated highly with the existence of a developmental disability, which, as noted, </w:t>
      </w:r>
      <w:r w:rsidRPr="00FE04C9">
        <w:t>experience much more restrictive outcomes</w:t>
      </w:r>
      <w:r w:rsidR="004918E8" w:rsidRPr="00FE04C9">
        <w:t>.</w:t>
      </w:r>
    </w:p>
    <w:p w14:paraId="41CB5E10" w14:textId="27C37F92" w:rsidR="003E341E" w:rsidRPr="00815A92" w:rsidRDefault="00815A92" w:rsidP="00CD54C7">
      <w:r>
        <w:t xml:space="preserve">Other </w:t>
      </w:r>
      <w:r w:rsidRPr="00815A92">
        <w:t>age group</w:t>
      </w:r>
      <w:r>
        <w:t xml:space="preserve">s </w:t>
      </w:r>
      <w:r w:rsidRPr="00815A92">
        <w:t xml:space="preserve">had higher rates of representation and lower rates of appointment of guardians.  </w:t>
      </w:r>
      <w:r w:rsidR="00BA5155" w:rsidRPr="00815A92">
        <w:t xml:space="preserve">Individuals age 80 and older had a slightly higher rate of representation than overall.  </w:t>
      </w:r>
      <w:r w:rsidR="003B65AF" w:rsidRPr="00815A92">
        <w:t>A possible reason for this is</w:t>
      </w:r>
      <w:r w:rsidR="00BA5155" w:rsidRPr="00815A92">
        <w:t xml:space="preserve"> that adults who have lived all of their lives without a guardian may be more likely to contest the removal of their rights when it is sought, thus triggering the appointment of an attorney.  That aside, even at rates similar to Respondents overall, the vast majority of Respondents ha</w:t>
      </w:r>
      <w:r w:rsidR="00463CE0">
        <w:t>d</w:t>
      </w:r>
      <w:r w:rsidR="00BA5155" w:rsidRPr="00815A92">
        <w:t xml:space="preserve"> no attorney.  The rates at which guardians </w:t>
      </w:r>
      <w:r w:rsidR="00463CE0">
        <w:t xml:space="preserve">were </w:t>
      </w:r>
      <w:r w:rsidR="00BA5155" w:rsidRPr="00815A92">
        <w:t xml:space="preserve">appointed for individuals age </w:t>
      </w:r>
      <w:r w:rsidR="00BA5155" w:rsidRPr="00815A92">
        <w:lastRenderedPageBreak/>
        <w:t xml:space="preserve">80 and older </w:t>
      </w:r>
      <w:r w:rsidR="00463CE0">
        <w:t>were</w:t>
      </w:r>
      <w:r w:rsidR="00BA5155" w:rsidRPr="00815A92">
        <w:t xml:space="preserve"> also similar to rates of appointment of guardianship for Respondents generally (75-77% of cases).</w:t>
      </w:r>
    </w:p>
    <w:p w14:paraId="31E46893" w14:textId="5850F431" w:rsidR="00387B68" w:rsidRDefault="00BA5155" w:rsidP="00CD54C7">
      <w:r w:rsidRPr="00815A92">
        <w:t>O</w:t>
      </w:r>
      <w:r w:rsidR="00387B68" w:rsidRPr="00815A92">
        <w:t xml:space="preserve">ne data point </w:t>
      </w:r>
      <w:r w:rsidR="00FE04C9">
        <w:t>that</w:t>
      </w:r>
      <w:r w:rsidR="00387B68" w:rsidRPr="00815A92">
        <w:t xml:space="preserve"> DRM was unable to collect was </w:t>
      </w:r>
      <w:r w:rsidR="00FE04C9">
        <w:t xml:space="preserve">the </w:t>
      </w:r>
      <w:r w:rsidR="00387B68" w:rsidRPr="00815A92">
        <w:t>rate in which Respondent</w:t>
      </w:r>
      <w:r w:rsidR="00FE04C9">
        <w:t>s</w:t>
      </w:r>
      <w:r w:rsidR="00387B68" w:rsidRPr="00815A92">
        <w:t xml:space="preserve"> attended</w:t>
      </w:r>
      <w:r w:rsidR="00387B68">
        <w:t xml:space="preserve"> the hearing on the petition for appointment of guardian.</w:t>
      </w:r>
      <w:r w:rsidR="000A218B">
        <w:t xml:space="preserve">  The </w:t>
      </w:r>
      <w:r>
        <w:t xml:space="preserve">law requires that the Respondent be present at the hearing </w:t>
      </w:r>
      <w:r w:rsidR="000A218B">
        <w:t>unless the court finds by clear and convincing evidence that either the Respondent has repeatedly refused to attend or that “[t]</w:t>
      </w:r>
      <w:r w:rsidR="000A218B" w:rsidRPr="000A218B">
        <w:t>here is no practicable way for the respondent to attend and participate in the hearing even with appropriate supportive services and technological assistance.</w:t>
      </w:r>
      <w:r w:rsidR="000A218B">
        <w:t>”</w:t>
      </w:r>
      <w:r w:rsidR="000A218B">
        <w:rPr>
          <w:rStyle w:val="FootnoteReference"/>
        </w:rPr>
        <w:footnoteReference w:id="20"/>
      </w:r>
      <w:r w:rsidR="000A218B">
        <w:t xml:space="preserve">  The statute also guarantees the Respondent’s right to support services or techno</w:t>
      </w:r>
      <w:r>
        <w:t xml:space="preserve">logical assistance in order to participate in the hearing.  </w:t>
      </w:r>
      <w:r w:rsidR="00126B54">
        <w:t xml:space="preserve">The court form ordering guardianship does not </w:t>
      </w:r>
      <w:r w:rsidR="003E5830">
        <w:t>indicate</w:t>
      </w:r>
      <w:r w:rsidR="00126B54">
        <w:t xml:space="preserve"> who attended the hearing or factual findings on whether </w:t>
      </w:r>
      <w:r w:rsidR="003E5830">
        <w:t>there was evidence to conclude the Respondent’s presence was not necessary.</w:t>
      </w:r>
      <w:r w:rsidR="00126B54">
        <w:t xml:space="preserve">  It is worth considering whether these forms should be updated to include such findings </w:t>
      </w:r>
      <w:r w:rsidR="003E5830">
        <w:t xml:space="preserve">in order </w:t>
      </w:r>
      <w:r w:rsidR="00126B54">
        <w:t>to comply with the statute.</w:t>
      </w:r>
    </w:p>
    <w:p w14:paraId="228CA44C" w14:textId="35B98AF2" w:rsidR="00126B54" w:rsidRDefault="007F4549" w:rsidP="00CD54C7">
      <w:r w:rsidRPr="00815A92">
        <w:rPr>
          <w:b/>
        </w:rPr>
        <w:t>The rates of representation, the rates at which guardians were appointed, and the rates at which those appointments were full guardianships did not change drastically over the three years studied.</w:t>
      </w:r>
      <w:r>
        <w:t xml:space="preserve">  As noted above, the Probate Code was changed in September of 2019 with a preference for less restrictive alternatives.  Unfortunately, this does not appear to have resulted in vastly different outcomes in the years immediately following</w:t>
      </w:r>
      <w:r w:rsidR="003E5830">
        <w:t xml:space="preserve"> its implementation.</w:t>
      </w:r>
    </w:p>
    <w:p w14:paraId="0887C9BC" w14:textId="77777777" w:rsidR="00943448" w:rsidRDefault="00C5347B" w:rsidP="00CD54C7">
      <w:r w:rsidRPr="00815A92">
        <w:t>The</w:t>
      </w:r>
      <w:r w:rsidR="007F4549" w:rsidRPr="00815A92">
        <w:t xml:space="preserve"> most striking finding in this data analysis is that attorneys make a significant difference in outcomes across all years and across all cases.</w:t>
      </w:r>
      <w:r w:rsidR="00450B95" w:rsidRPr="00815A92">
        <w:t xml:space="preserve">  </w:t>
      </w:r>
      <w:r w:rsidR="00450B95" w:rsidRPr="00815A92">
        <w:rPr>
          <w:b/>
        </w:rPr>
        <w:t>When the Respondent had an attorney, guardianships were far less likely to be ordered, and when they were ordered, they were far more likely to be limited in nature.</w:t>
      </w:r>
      <w:r w:rsidR="00450B95">
        <w:t xml:space="preserve">  In 2021, for example, </w:t>
      </w:r>
      <w:r w:rsidR="00815A92">
        <w:t xml:space="preserve">when the Respondent had </w:t>
      </w:r>
      <w:r w:rsidR="00602E07">
        <w:t xml:space="preserve">an </w:t>
      </w:r>
      <w:r w:rsidR="00815A92">
        <w:t>attorney, the rate of appointment of a full guardianship dropped 20 percentage points, from</w:t>
      </w:r>
      <w:r w:rsidR="00450B95">
        <w:t xml:space="preserve"> 76% to only 56%.</w:t>
      </w:r>
      <w:r w:rsidR="00943448">
        <w:t xml:space="preserve">  </w:t>
      </w:r>
      <w:r w:rsidR="00815A92">
        <w:t>When the Respondent had an attorney, 33% of cases resulted in no guardianship at all, compared with 21% when there was no attorney.</w:t>
      </w:r>
      <w:r w:rsidR="00943448">
        <w:t xml:space="preserve">  And, when guardianships were ordered, the rate at which they were full guardianships went from almost 96% down to 84% when there was an attorney.  These drastic differences are comparable to 2019 and 2020.</w:t>
      </w:r>
    </w:p>
    <w:p w14:paraId="3256F9A8" w14:textId="77777777" w:rsidR="00FE04C9" w:rsidRDefault="00943448" w:rsidP="00943448">
      <w:r>
        <w:t xml:space="preserve">The results are </w:t>
      </w:r>
      <w:r w:rsidR="00516E46">
        <w:t>difficult to discount</w:t>
      </w:r>
      <w:r>
        <w:t xml:space="preserve">: less restrictive alternatives to full guardianship </w:t>
      </w:r>
      <w:r w:rsidR="00516E46">
        <w:t xml:space="preserve">were </w:t>
      </w:r>
      <w:r w:rsidR="00815A92">
        <w:t>far more likely to be</w:t>
      </w:r>
      <w:r>
        <w:t xml:space="preserve"> implemented when the Respondent ha</w:t>
      </w:r>
      <w:r w:rsidR="00815A92">
        <w:t>d</w:t>
      </w:r>
      <w:r>
        <w:t xml:space="preserve"> </w:t>
      </w:r>
      <w:r w:rsidR="00516E46">
        <w:t>an</w:t>
      </w:r>
      <w:r>
        <w:t xml:space="preserve"> attorney.  </w:t>
      </w:r>
      <w:r w:rsidR="00346E7C">
        <w:t>No other person is tasked with advocating for the wishes of the Respondent.</w:t>
      </w:r>
      <w:r w:rsidR="00ED6ED9">
        <w:t xml:space="preserve">  The role of the court-appointed visitor </w:t>
      </w:r>
      <w:r w:rsidR="00516E46">
        <w:t>includes</w:t>
      </w:r>
      <w:r w:rsidR="00ED6ED9">
        <w:t xml:space="preserve"> ascertain</w:t>
      </w:r>
      <w:r w:rsidR="00516E46">
        <w:t>ing</w:t>
      </w:r>
      <w:r w:rsidR="00ED6ED9">
        <w:t xml:space="preserve"> the wishes of the Respondent, but not advocat</w:t>
      </w:r>
      <w:r w:rsidR="00FE04C9">
        <w:t>ing</w:t>
      </w:r>
      <w:r w:rsidR="00ED6ED9">
        <w:t xml:space="preserve"> for the</w:t>
      </w:r>
      <w:r w:rsidR="00FE04C9">
        <w:t>ir wishes</w:t>
      </w:r>
      <w:r w:rsidR="00ED6ED9">
        <w:t xml:space="preserve">.  In fact, the visitor will make a recommendation as to the “appropriateness” of a guardianship.  They can, and often do, recommend guardianship </w:t>
      </w:r>
      <w:r w:rsidR="00516E46">
        <w:t>against</w:t>
      </w:r>
      <w:r w:rsidR="00ED6ED9">
        <w:t xml:space="preserve"> the wishes of the Respondent.  Nor is the judge meant to be an advocate for the Respondent.  To the contrary, due process requires that the judge be a neutral decisionmaker, hearing evidence from all sides before deciding whether a petitioner has met the burden of proof required for a guardianship to be ordered.  While it may be incumbent on the judge to decide if less restrictive alternatives are more appropriate, it is not </w:t>
      </w:r>
      <w:r w:rsidR="00FE04C9">
        <w:t>up to</w:t>
      </w:r>
      <w:r w:rsidR="00ED6ED9">
        <w:t xml:space="preserve"> the judge to craft them.</w:t>
      </w:r>
    </w:p>
    <w:p w14:paraId="5C52E7C5" w14:textId="4ED138C6" w:rsidR="00602E07" w:rsidRDefault="00FE04C9" w:rsidP="00943448">
      <w:r>
        <w:t>T</w:t>
      </w:r>
      <w:r w:rsidR="00217F12" w:rsidRPr="00217F12">
        <w:t xml:space="preserve">he model law upon which Maine’s law is based envisioned that attorneys would be appointed </w:t>
      </w:r>
      <w:r w:rsidR="00217F12" w:rsidRPr="00217F12">
        <w:lastRenderedPageBreak/>
        <w:t>in nearly every case</w:t>
      </w:r>
      <w:r w:rsidR="003E5830">
        <w:t>, yet, the reality is starkly different</w:t>
      </w:r>
      <w:r w:rsidR="00217F12" w:rsidRPr="00217F12">
        <w:t>.</w:t>
      </w:r>
      <w:r w:rsidR="00217F12">
        <w:t xml:space="preserve">  </w:t>
      </w:r>
      <w:r w:rsidR="00ED6ED9">
        <w:t>It is for the attorney to inquire what alternat</w:t>
      </w:r>
      <w:r w:rsidR="00463CE0">
        <w:t>ives</w:t>
      </w:r>
      <w:r w:rsidR="00ED6ED9">
        <w:t xml:space="preserve"> there are, consult with </w:t>
      </w:r>
      <w:r w:rsidR="00602E07">
        <w:t xml:space="preserve">their </w:t>
      </w:r>
      <w:r w:rsidR="00ED6ED9">
        <w:t>client, and argue that the</w:t>
      </w:r>
      <w:r w:rsidR="00723618">
        <w:t>re</w:t>
      </w:r>
      <w:r w:rsidR="00ED6ED9">
        <w:t xml:space="preserve"> are more appropriate </w:t>
      </w:r>
      <w:r w:rsidR="00816840">
        <w:t>alternatives to</w:t>
      </w:r>
      <w:r w:rsidR="00ED6ED9">
        <w:t xml:space="preserve"> guardianship</w:t>
      </w:r>
      <w:r w:rsidR="00723618">
        <w:t xml:space="preserve"> </w:t>
      </w:r>
      <w:r w:rsidR="00816840">
        <w:t>consistent with their client’s wishes</w:t>
      </w:r>
      <w:r w:rsidR="00ED6ED9">
        <w:t xml:space="preserve">.  It is also for the attorney to negotiate less restrictive alternatives with the </w:t>
      </w:r>
      <w:r w:rsidR="00723618">
        <w:t>other party</w:t>
      </w:r>
      <w:r w:rsidR="00ED6ED9">
        <w:t xml:space="preserve"> in order to resolve the case </w:t>
      </w:r>
      <w:r w:rsidR="00723618">
        <w:t>consistent with</w:t>
      </w:r>
      <w:r w:rsidR="00ED6ED9">
        <w:t xml:space="preserve"> </w:t>
      </w:r>
      <w:r w:rsidR="00602E07">
        <w:t>their</w:t>
      </w:r>
      <w:r w:rsidR="00ED6ED9">
        <w:t xml:space="preserve"> client’s wishes.  If there were no defense attorneys in criminal matters, there would be less justice.</w:t>
      </w:r>
    </w:p>
    <w:p w14:paraId="73924C6D" w14:textId="34B4E620" w:rsidR="00BF22E3" w:rsidRDefault="003775A1" w:rsidP="00943448">
      <w:r>
        <w:t xml:space="preserve">And so it is for adult guardianship.  Without attorneys for people at risk of having their </w:t>
      </w:r>
      <w:r w:rsidR="00516E46">
        <w:t xml:space="preserve">civil </w:t>
      </w:r>
      <w:r>
        <w:t xml:space="preserve">rights removed, the system is </w:t>
      </w:r>
      <w:r w:rsidR="002412D7">
        <w:t>un</w:t>
      </w:r>
      <w:r>
        <w:t>balance</w:t>
      </w:r>
      <w:r w:rsidR="002412D7">
        <w:t>d</w:t>
      </w:r>
      <w:r>
        <w:t>.</w:t>
      </w:r>
      <w:r w:rsidR="00723618">
        <w:t xml:space="preserve">  The law is only </w:t>
      </w:r>
      <w:r w:rsidR="00516E46">
        <w:t xml:space="preserve">truly </w:t>
      </w:r>
      <w:r w:rsidR="00723618">
        <w:t xml:space="preserve">effective when there are attorneys to argue for its implementation.  </w:t>
      </w:r>
      <w:r w:rsidR="00516E46">
        <w:t xml:space="preserve">Anyone who had the honor of being a law school student in Professor Melvyn Zarr’s class at Maine </w:t>
      </w:r>
      <w:r w:rsidR="00CD2E41">
        <w:t>L</w:t>
      </w:r>
      <w:r w:rsidR="00516E46">
        <w:t xml:space="preserve">aw is familiar with the </w:t>
      </w:r>
      <w:r w:rsidR="0073231C">
        <w:t>edict</w:t>
      </w:r>
      <w:r w:rsidR="00513B89">
        <w:t>,</w:t>
      </w:r>
      <w:r w:rsidR="00516E46">
        <w:t xml:space="preserve"> </w:t>
      </w:r>
      <w:r w:rsidR="00723618">
        <w:t>“Law is a lawyer-driven process</w:t>
      </w:r>
      <w:r w:rsidR="00516E46">
        <w:t>.</w:t>
      </w:r>
      <w:r w:rsidR="00723618">
        <w:t xml:space="preserve">” </w:t>
      </w:r>
      <w:r w:rsidR="00516E46">
        <w:t xml:space="preserve"> This was a cornerstone of his message that</w:t>
      </w:r>
      <w:r w:rsidR="00A450CA">
        <w:t xml:space="preserve"> “how a case turns out depends vitally on how lawyers drive (or fail to drive) the legal process.”</w:t>
      </w:r>
      <w:r w:rsidR="00A450CA">
        <w:rPr>
          <w:rStyle w:val="FootnoteReference"/>
        </w:rPr>
        <w:footnoteReference w:id="21"/>
      </w:r>
      <w:r w:rsidR="00A450CA">
        <w:t xml:space="preserve">  Without lawyers to drive th</w:t>
      </w:r>
      <w:r w:rsidR="00007B46">
        <w:t>is legal</w:t>
      </w:r>
      <w:r w:rsidR="00A450CA">
        <w:t xml:space="preserve"> process, the outcomes change, and </w:t>
      </w:r>
      <w:r w:rsidR="00007B46">
        <w:t xml:space="preserve">as a result, </w:t>
      </w:r>
      <w:r w:rsidR="00A450CA">
        <w:t>the rights of Respondents are curtailed at far higher rates.</w:t>
      </w:r>
      <w:r w:rsidR="00A11DC2">
        <w:t xml:space="preserve">  </w:t>
      </w:r>
      <w:r w:rsidR="00007B46">
        <w:t>The updated Probate Code, with its recognition of guardianship as a</w:t>
      </w:r>
      <w:r w:rsidR="00A2320F">
        <w:t>n extreme measure of</w:t>
      </w:r>
      <w:r w:rsidR="00007B46">
        <w:t xml:space="preserve"> last resort, </w:t>
      </w:r>
      <w:r w:rsidR="00A2320F">
        <w:t>i</w:t>
      </w:r>
      <w:r w:rsidR="00007B46">
        <w:t>s necessary to uphold the rights of people with disabilities, but it is not enough to drive the c</w:t>
      </w:r>
      <w:r w:rsidR="00A11DC2">
        <w:t>hange</w:t>
      </w:r>
      <w:r w:rsidR="00007B46">
        <w:t xml:space="preserve"> that was intended</w:t>
      </w:r>
      <w:r w:rsidR="00A11DC2">
        <w:t xml:space="preserve">.  Lawyers are needed </w:t>
      </w:r>
      <w:r w:rsidR="00007B46">
        <w:t>who can utilize</w:t>
      </w:r>
      <w:r w:rsidR="00A11DC2">
        <w:t xml:space="preserve"> the law to </w:t>
      </w:r>
      <w:r w:rsidR="00007B46">
        <w:t>help it recognize the full personhood and inherent rights of people in the guardianship system.</w:t>
      </w:r>
      <w:bookmarkEnd w:id="33"/>
      <w:r w:rsidR="00BF22E3">
        <w:br w:type="page"/>
      </w:r>
    </w:p>
    <w:p w14:paraId="4E8AE5F6" w14:textId="77777777" w:rsidR="00BF22E3" w:rsidRDefault="00BF22E3" w:rsidP="001B546C">
      <w:pPr>
        <w:pStyle w:val="Heading1"/>
      </w:pPr>
      <w:bookmarkStart w:id="34" w:name="_Toc179457421"/>
      <w:r w:rsidRPr="00A83384">
        <w:lastRenderedPageBreak/>
        <w:t>Appendix</w:t>
      </w:r>
      <w:bookmarkEnd w:id="34"/>
    </w:p>
    <w:p w14:paraId="41A4EBA7" w14:textId="77777777" w:rsidR="00890752" w:rsidRDefault="00890752" w:rsidP="00017521">
      <w:pPr>
        <w:pStyle w:val="Heading2"/>
      </w:pPr>
      <w:bookmarkStart w:id="35" w:name="_Toc179457422"/>
      <w:r>
        <w:t>Number of Petitions Filed Per County</w:t>
      </w:r>
      <w:bookmarkEnd w:id="35"/>
    </w:p>
    <w:tbl>
      <w:tblPr>
        <w:tblStyle w:val="TableGrid"/>
        <w:tblW w:w="0" w:type="auto"/>
        <w:tblLook w:val="04A0" w:firstRow="1" w:lastRow="0" w:firstColumn="1" w:lastColumn="0" w:noHBand="0" w:noVBand="1"/>
      </w:tblPr>
      <w:tblGrid>
        <w:gridCol w:w="1762"/>
        <w:gridCol w:w="778"/>
        <w:gridCol w:w="778"/>
        <w:gridCol w:w="778"/>
      </w:tblGrid>
      <w:tr w:rsidR="00890752" w14:paraId="773A49CE" w14:textId="77777777" w:rsidTr="00911728">
        <w:trPr>
          <w:trHeight w:val="310"/>
        </w:trPr>
        <w:tc>
          <w:tcPr>
            <w:tcW w:w="1762" w:type="dxa"/>
            <w:vAlign w:val="center"/>
          </w:tcPr>
          <w:p w14:paraId="6EF144F9" w14:textId="77777777" w:rsidR="00890752" w:rsidRDefault="00890752" w:rsidP="001B561D"/>
        </w:tc>
        <w:tc>
          <w:tcPr>
            <w:tcW w:w="778" w:type="dxa"/>
            <w:vAlign w:val="center"/>
          </w:tcPr>
          <w:p w14:paraId="38F00675" w14:textId="77777777" w:rsidR="00890752" w:rsidRPr="009421DA" w:rsidRDefault="00890752" w:rsidP="001B561D">
            <w:pPr>
              <w:spacing w:after="0"/>
              <w:rPr>
                <w:b/>
              </w:rPr>
            </w:pPr>
            <w:r w:rsidRPr="009421DA">
              <w:rPr>
                <w:b/>
              </w:rPr>
              <w:t>2019</w:t>
            </w:r>
          </w:p>
        </w:tc>
        <w:tc>
          <w:tcPr>
            <w:tcW w:w="778" w:type="dxa"/>
            <w:vAlign w:val="center"/>
          </w:tcPr>
          <w:p w14:paraId="6B349609" w14:textId="77777777" w:rsidR="00890752" w:rsidRPr="009421DA" w:rsidRDefault="00890752" w:rsidP="001B561D">
            <w:pPr>
              <w:spacing w:after="0"/>
              <w:rPr>
                <w:b/>
              </w:rPr>
            </w:pPr>
            <w:r w:rsidRPr="009421DA">
              <w:rPr>
                <w:b/>
              </w:rPr>
              <w:t>2020</w:t>
            </w:r>
          </w:p>
        </w:tc>
        <w:tc>
          <w:tcPr>
            <w:tcW w:w="778" w:type="dxa"/>
            <w:vAlign w:val="center"/>
          </w:tcPr>
          <w:p w14:paraId="5B6CC7CF" w14:textId="77777777" w:rsidR="00890752" w:rsidRPr="009421DA" w:rsidRDefault="00890752" w:rsidP="001B561D">
            <w:pPr>
              <w:spacing w:after="0"/>
              <w:rPr>
                <w:b/>
              </w:rPr>
            </w:pPr>
            <w:r w:rsidRPr="009421DA">
              <w:rPr>
                <w:b/>
              </w:rPr>
              <w:t>2021</w:t>
            </w:r>
          </w:p>
        </w:tc>
      </w:tr>
      <w:tr w:rsidR="00890752" w14:paraId="01D7A901" w14:textId="77777777" w:rsidTr="00911728">
        <w:trPr>
          <w:trHeight w:val="310"/>
        </w:trPr>
        <w:tc>
          <w:tcPr>
            <w:tcW w:w="1762" w:type="dxa"/>
            <w:vAlign w:val="center"/>
          </w:tcPr>
          <w:p w14:paraId="122E5C79" w14:textId="77777777" w:rsidR="00890752" w:rsidRPr="00E55E05" w:rsidRDefault="00890752" w:rsidP="001B561D">
            <w:pPr>
              <w:spacing w:after="0"/>
            </w:pPr>
            <w:r w:rsidRPr="00E55E05">
              <w:t>Androscoggin</w:t>
            </w:r>
          </w:p>
        </w:tc>
        <w:tc>
          <w:tcPr>
            <w:tcW w:w="778" w:type="dxa"/>
            <w:vAlign w:val="center"/>
          </w:tcPr>
          <w:p w14:paraId="179E5285" w14:textId="77777777" w:rsidR="00890752" w:rsidRPr="00E55E05" w:rsidRDefault="00890752" w:rsidP="001B561D">
            <w:pPr>
              <w:spacing w:after="0"/>
            </w:pPr>
            <w:r w:rsidRPr="00E55E05">
              <w:t>53</w:t>
            </w:r>
          </w:p>
        </w:tc>
        <w:tc>
          <w:tcPr>
            <w:tcW w:w="778" w:type="dxa"/>
            <w:vAlign w:val="center"/>
          </w:tcPr>
          <w:p w14:paraId="2FD07383" w14:textId="77777777" w:rsidR="00890752" w:rsidRDefault="00E55E05" w:rsidP="001B561D">
            <w:pPr>
              <w:spacing w:after="0"/>
            </w:pPr>
            <w:r>
              <w:t>37</w:t>
            </w:r>
          </w:p>
        </w:tc>
        <w:tc>
          <w:tcPr>
            <w:tcW w:w="778" w:type="dxa"/>
            <w:vAlign w:val="center"/>
          </w:tcPr>
          <w:p w14:paraId="6AEC2F18" w14:textId="77777777" w:rsidR="00890752" w:rsidRDefault="00890752" w:rsidP="001B561D">
            <w:pPr>
              <w:spacing w:after="0"/>
            </w:pPr>
            <w:r>
              <w:t>53</w:t>
            </w:r>
          </w:p>
        </w:tc>
      </w:tr>
      <w:tr w:rsidR="00890752" w14:paraId="718C3992" w14:textId="77777777" w:rsidTr="00911728">
        <w:trPr>
          <w:trHeight w:val="310"/>
        </w:trPr>
        <w:tc>
          <w:tcPr>
            <w:tcW w:w="1762" w:type="dxa"/>
            <w:vAlign w:val="center"/>
          </w:tcPr>
          <w:p w14:paraId="497B3373" w14:textId="77777777" w:rsidR="00890752" w:rsidRPr="00E55E05" w:rsidRDefault="00890752" w:rsidP="001B561D">
            <w:pPr>
              <w:spacing w:after="0"/>
            </w:pPr>
            <w:r w:rsidRPr="00E55E05">
              <w:t>Aroostook</w:t>
            </w:r>
          </w:p>
        </w:tc>
        <w:tc>
          <w:tcPr>
            <w:tcW w:w="778" w:type="dxa"/>
            <w:vAlign w:val="center"/>
          </w:tcPr>
          <w:p w14:paraId="1671A371" w14:textId="77777777" w:rsidR="00890752" w:rsidRPr="00E55E05" w:rsidRDefault="00890752" w:rsidP="001B561D">
            <w:pPr>
              <w:spacing w:after="0"/>
            </w:pPr>
            <w:r w:rsidRPr="00E55E05">
              <w:t>29</w:t>
            </w:r>
          </w:p>
        </w:tc>
        <w:tc>
          <w:tcPr>
            <w:tcW w:w="778" w:type="dxa"/>
            <w:vAlign w:val="center"/>
          </w:tcPr>
          <w:p w14:paraId="2097D64F" w14:textId="77777777" w:rsidR="00890752" w:rsidRDefault="00E55E05" w:rsidP="001B561D">
            <w:pPr>
              <w:spacing w:after="0"/>
            </w:pPr>
            <w:r>
              <w:t>23</w:t>
            </w:r>
          </w:p>
        </w:tc>
        <w:tc>
          <w:tcPr>
            <w:tcW w:w="778" w:type="dxa"/>
            <w:vAlign w:val="center"/>
          </w:tcPr>
          <w:p w14:paraId="7C054746" w14:textId="77777777" w:rsidR="00890752" w:rsidRDefault="00890752" w:rsidP="001B561D">
            <w:pPr>
              <w:spacing w:after="0"/>
            </w:pPr>
            <w:r>
              <w:t>42</w:t>
            </w:r>
          </w:p>
        </w:tc>
      </w:tr>
      <w:tr w:rsidR="00890752" w14:paraId="39F1A1BA" w14:textId="77777777" w:rsidTr="00911728">
        <w:trPr>
          <w:trHeight w:val="310"/>
        </w:trPr>
        <w:tc>
          <w:tcPr>
            <w:tcW w:w="1762" w:type="dxa"/>
            <w:vAlign w:val="center"/>
          </w:tcPr>
          <w:p w14:paraId="2B897AAB" w14:textId="77777777" w:rsidR="00890752" w:rsidRPr="00E55E05" w:rsidRDefault="00890752" w:rsidP="001B561D">
            <w:pPr>
              <w:spacing w:after="0"/>
            </w:pPr>
            <w:r w:rsidRPr="00E55E05">
              <w:t>Cumberland</w:t>
            </w:r>
          </w:p>
        </w:tc>
        <w:tc>
          <w:tcPr>
            <w:tcW w:w="778" w:type="dxa"/>
            <w:vAlign w:val="center"/>
          </w:tcPr>
          <w:p w14:paraId="5433C9DC" w14:textId="77777777" w:rsidR="00890752" w:rsidRPr="00E55E05" w:rsidRDefault="00890752" w:rsidP="001B561D">
            <w:pPr>
              <w:spacing w:after="0"/>
            </w:pPr>
            <w:r w:rsidRPr="00E55E05">
              <w:t>184</w:t>
            </w:r>
          </w:p>
        </w:tc>
        <w:tc>
          <w:tcPr>
            <w:tcW w:w="778" w:type="dxa"/>
            <w:vAlign w:val="center"/>
          </w:tcPr>
          <w:p w14:paraId="61D3F1A9" w14:textId="77777777" w:rsidR="00890752" w:rsidRDefault="00E55E05" w:rsidP="001B561D">
            <w:pPr>
              <w:spacing w:after="0"/>
            </w:pPr>
            <w:r>
              <w:t>153</w:t>
            </w:r>
          </w:p>
        </w:tc>
        <w:tc>
          <w:tcPr>
            <w:tcW w:w="778" w:type="dxa"/>
            <w:vAlign w:val="center"/>
          </w:tcPr>
          <w:p w14:paraId="1AEABA16" w14:textId="77777777" w:rsidR="00890752" w:rsidRDefault="00890752" w:rsidP="001B561D">
            <w:pPr>
              <w:spacing w:after="0"/>
            </w:pPr>
            <w:r>
              <w:t>191</w:t>
            </w:r>
          </w:p>
        </w:tc>
      </w:tr>
      <w:tr w:rsidR="00890752" w14:paraId="1F1277CD" w14:textId="77777777" w:rsidTr="00911728">
        <w:trPr>
          <w:trHeight w:val="310"/>
        </w:trPr>
        <w:tc>
          <w:tcPr>
            <w:tcW w:w="1762" w:type="dxa"/>
            <w:vAlign w:val="center"/>
          </w:tcPr>
          <w:p w14:paraId="05D63E35" w14:textId="77777777" w:rsidR="00890752" w:rsidRPr="00E55E05" w:rsidRDefault="00890752" w:rsidP="001B561D">
            <w:pPr>
              <w:spacing w:after="0"/>
            </w:pPr>
            <w:r w:rsidRPr="00E55E05">
              <w:t>Franklin</w:t>
            </w:r>
          </w:p>
        </w:tc>
        <w:tc>
          <w:tcPr>
            <w:tcW w:w="778" w:type="dxa"/>
            <w:vAlign w:val="center"/>
          </w:tcPr>
          <w:p w14:paraId="071D1E5F" w14:textId="77777777" w:rsidR="00890752" w:rsidRPr="00E55E05" w:rsidRDefault="00890752" w:rsidP="001B561D">
            <w:pPr>
              <w:spacing w:after="0"/>
            </w:pPr>
            <w:r w:rsidRPr="00E55E05">
              <w:t>10</w:t>
            </w:r>
          </w:p>
        </w:tc>
        <w:tc>
          <w:tcPr>
            <w:tcW w:w="778" w:type="dxa"/>
            <w:vAlign w:val="center"/>
          </w:tcPr>
          <w:p w14:paraId="0322CEF3" w14:textId="77777777" w:rsidR="00890752" w:rsidRDefault="00E55E05" w:rsidP="001B561D">
            <w:pPr>
              <w:spacing w:after="0"/>
            </w:pPr>
            <w:r>
              <w:t>10</w:t>
            </w:r>
          </w:p>
        </w:tc>
        <w:tc>
          <w:tcPr>
            <w:tcW w:w="778" w:type="dxa"/>
            <w:vAlign w:val="center"/>
          </w:tcPr>
          <w:p w14:paraId="6969E8BD" w14:textId="77777777" w:rsidR="00890752" w:rsidRDefault="00890752" w:rsidP="001B561D">
            <w:pPr>
              <w:spacing w:after="0"/>
            </w:pPr>
            <w:r>
              <w:t>21</w:t>
            </w:r>
          </w:p>
        </w:tc>
      </w:tr>
      <w:tr w:rsidR="00890752" w14:paraId="427595AB" w14:textId="77777777" w:rsidTr="00911728">
        <w:trPr>
          <w:trHeight w:val="310"/>
        </w:trPr>
        <w:tc>
          <w:tcPr>
            <w:tcW w:w="1762" w:type="dxa"/>
            <w:vAlign w:val="center"/>
          </w:tcPr>
          <w:p w14:paraId="228AB57D" w14:textId="77777777" w:rsidR="00890752" w:rsidRPr="00E55E05" w:rsidRDefault="00890752" w:rsidP="001B561D">
            <w:pPr>
              <w:spacing w:after="0"/>
            </w:pPr>
            <w:r w:rsidRPr="00E55E05">
              <w:t>Hancock</w:t>
            </w:r>
          </w:p>
        </w:tc>
        <w:tc>
          <w:tcPr>
            <w:tcW w:w="778" w:type="dxa"/>
            <w:vAlign w:val="center"/>
          </w:tcPr>
          <w:p w14:paraId="3E6130DC" w14:textId="77777777" w:rsidR="00890752" w:rsidRPr="00E55E05" w:rsidRDefault="00890752" w:rsidP="001B561D">
            <w:pPr>
              <w:spacing w:after="0"/>
            </w:pPr>
            <w:r w:rsidRPr="00E55E05">
              <w:t>35</w:t>
            </w:r>
          </w:p>
        </w:tc>
        <w:tc>
          <w:tcPr>
            <w:tcW w:w="778" w:type="dxa"/>
            <w:vAlign w:val="center"/>
          </w:tcPr>
          <w:p w14:paraId="319C4775" w14:textId="77777777" w:rsidR="00890752" w:rsidRDefault="00E55E05" w:rsidP="001B561D">
            <w:pPr>
              <w:spacing w:after="0"/>
            </w:pPr>
            <w:r>
              <w:t>30</w:t>
            </w:r>
          </w:p>
        </w:tc>
        <w:tc>
          <w:tcPr>
            <w:tcW w:w="778" w:type="dxa"/>
            <w:vAlign w:val="center"/>
          </w:tcPr>
          <w:p w14:paraId="536E1DAF" w14:textId="77777777" w:rsidR="00890752" w:rsidRDefault="00890752" w:rsidP="001B561D">
            <w:pPr>
              <w:spacing w:after="0"/>
            </w:pPr>
            <w:r>
              <w:t>27</w:t>
            </w:r>
          </w:p>
        </w:tc>
      </w:tr>
      <w:tr w:rsidR="00890752" w14:paraId="09341590" w14:textId="77777777" w:rsidTr="00911728">
        <w:trPr>
          <w:trHeight w:val="310"/>
        </w:trPr>
        <w:tc>
          <w:tcPr>
            <w:tcW w:w="1762" w:type="dxa"/>
            <w:vAlign w:val="center"/>
          </w:tcPr>
          <w:p w14:paraId="33FBABD2" w14:textId="77777777" w:rsidR="00890752" w:rsidRPr="00E55E05" w:rsidRDefault="00890752" w:rsidP="001B561D">
            <w:pPr>
              <w:spacing w:after="0"/>
            </w:pPr>
            <w:r w:rsidRPr="00E55E05">
              <w:t>Kennebec</w:t>
            </w:r>
          </w:p>
        </w:tc>
        <w:tc>
          <w:tcPr>
            <w:tcW w:w="778" w:type="dxa"/>
            <w:vAlign w:val="center"/>
          </w:tcPr>
          <w:p w14:paraId="58FB63F1" w14:textId="77777777" w:rsidR="00890752" w:rsidRPr="00E55E05" w:rsidRDefault="00890752" w:rsidP="001B561D">
            <w:pPr>
              <w:spacing w:after="0"/>
            </w:pPr>
            <w:r w:rsidRPr="00E55E05">
              <w:t>89</w:t>
            </w:r>
          </w:p>
        </w:tc>
        <w:tc>
          <w:tcPr>
            <w:tcW w:w="778" w:type="dxa"/>
            <w:vAlign w:val="center"/>
          </w:tcPr>
          <w:p w14:paraId="3F35E76C" w14:textId="77777777" w:rsidR="00890752" w:rsidRDefault="00E55E05" w:rsidP="001B561D">
            <w:pPr>
              <w:spacing w:after="0"/>
            </w:pPr>
            <w:r>
              <w:t>57</w:t>
            </w:r>
          </w:p>
        </w:tc>
        <w:tc>
          <w:tcPr>
            <w:tcW w:w="778" w:type="dxa"/>
            <w:vAlign w:val="center"/>
          </w:tcPr>
          <w:p w14:paraId="11FBF008" w14:textId="77777777" w:rsidR="00890752" w:rsidRDefault="00890752" w:rsidP="001B561D">
            <w:pPr>
              <w:spacing w:after="0"/>
            </w:pPr>
            <w:r>
              <w:t>75</w:t>
            </w:r>
          </w:p>
        </w:tc>
      </w:tr>
      <w:tr w:rsidR="00890752" w14:paraId="1F3BC5C3" w14:textId="77777777" w:rsidTr="00911728">
        <w:trPr>
          <w:trHeight w:val="319"/>
        </w:trPr>
        <w:tc>
          <w:tcPr>
            <w:tcW w:w="1762" w:type="dxa"/>
            <w:vAlign w:val="center"/>
          </w:tcPr>
          <w:p w14:paraId="2E2BE0B3" w14:textId="77777777" w:rsidR="00890752" w:rsidRPr="00E55E05" w:rsidRDefault="00890752" w:rsidP="001B561D">
            <w:pPr>
              <w:spacing w:after="0"/>
            </w:pPr>
            <w:r w:rsidRPr="00E55E05">
              <w:t>Knox</w:t>
            </w:r>
          </w:p>
        </w:tc>
        <w:tc>
          <w:tcPr>
            <w:tcW w:w="778" w:type="dxa"/>
            <w:vAlign w:val="center"/>
          </w:tcPr>
          <w:p w14:paraId="6457ED05" w14:textId="77777777" w:rsidR="00890752" w:rsidRPr="00E55E05" w:rsidRDefault="00890752" w:rsidP="001B561D">
            <w:pPr>
              <w:spacing w:after="0"/>
            </w:pPr>
            <w:r w:rsidRPr="00E55E05">
              <w:t>19</w:t>
            </w:r>
          </w:p>
        </w:tc>
        <w:tc>
          <w:tcPr>
            <w:tcW w:w="778" w:type="dxa"/>
            <w:vAlign w:val="center"/>
          </w:tcPr>
          <w:p w14:paraId="1C2CC949" w14:textId="77777777" w:rsidR="00890752" w:rsidRDefault="00E55E05" w:rsidP="001B561D">
            <w:pPr>
              <w:spacing w:after="0"/>
            </w:pPr>
            <w:r>
              <w:t>17</w:t>
            </w:r>
          </w:p>
        </w:tc>
        <w:tc>
          <w:tcPr>
            <w:tcW w:w="778" w:type="dxa"/>
            <w:vAlign w:val="center"/>
          </w:tcPr>
          <w:p w14:paraId="7D32C1A5" w14:textId="77777777" w:rsidR="00890752" w:rsidRDefault="00890752" w:rsidP="001B561D">
            <w:pPr>
              <w:spacing w:after="0"/>
            </w:pPr>
            <w:r>
              <w:t>16</w:t>
            </w:r>
          </w:p>
        </w:tc>
      </w:tr>
      <w:tr w:rsidR="00890752" w14:paraId="43DB8355" w14:textId="77777777" w:rsidTr="00911728">
        <w:trPr>
          <w:trHeight w:val="310"/>
        </w:trPr>
        <w:tc>
          <w:tcPr>
            <w:tcW w:w="1762" w:type="dxa"/>
            <w:vAlign w:val="center"/>
          </w:tcPr>
          <w:p w14:paraId="531E9631" w14:textId="77777777" w:rsidR="00890752" w:rsidRPr="00E55E05" w:rsidRDefault="00890752" w:rsidP="001B561D">
            <w:pPr>
              <w:spacing w:after="0"/>
            </w:pPr>
            <w:r w:rsidRPr="00E55E05">
              <w:t>Lincoln</w:t>
            </w:r>
          </w:p>
        </w:tc>
        <w:tc>
          <w:tcPr>
            <w:tcW w:w="778" w:type="dxa"/>
            <w:vAlign w:val="center"/>
          </w:tcPr>
          <w:p w14:paraId="5774B329" w14:textId="77777777" w:rsidR="00890752" w:rsidRPr="00E55E05" w:rsidRDefault="00890752" w:rsidP="001B561D">
            <w:pPr>
              <w:spacing w:after="0"/>
            </w:pPr>
            <w:r w:rsidRPr="00E55E05">
              <w:t>9</w:t>
            </w:r>
          </w:p>
        </w:tc>
        <w:tc>
          <w:tcPr>
            <w:tcW w:w="778" w:type="dxa"/>
            <w:vAlign w:val="center"/>
          </w:tcPr>
          <w:p w14:paraId="330A122C" w14:textId="77777777" w:rsidR="00890752" w:rsidRDefault="00E55E05" w:rsidP="001B561D">
            <w:pPr>
              <w:spacing w:after="0"/>
            </w:pPr>
            <w:r>
              <w:t>20</w:t>
            </w:r>
          </w:p>
        </w:tc>
        <w:tc>
          <w:tcPr>
            <w:tcW w:w="778" w:type="dxa"/>
            <w:vAlign w:val="center"/>
          </w:tcPr>
          <w:p w14:paraId="2467F981" w14:textId="77777777" w:rsidR="00890752" w:rsidRDefault="00890752" w:rsidP="001B561D">
            <w:pPr>
              <w:spacing w:after="0"/>
            </w:pPr>
            <w:r>
              <w:t>21</w:t>
            </w:r>
          </w:p>
        </w:tc>
      </w:tr>
      <w:tr w:rsidR="00890752" w14:paraId="47B1CB10" w14:textId="77777777" w:rsidTr="00911728">
        <w:trPr>
          <w:trHeight w:val="310"/>
        </w:trPr>
        <w:tc>
          <w:tcPr>
            <w:tcW w:w="1762" w:type="dxa"/>
            <w:vAlign w:val="center"/>
          </w:tcPr>
          <w:p w14:paraId="574A39EE" w14:textId="77777777" w:rsidR="00890752" w:rsidRPr="00E55E05" w:rsidRDefault="00890752" w:rsidP="001B561D">
            <w:pPr>
              <w:spacing w:after="0"/>
            </w:pPr>
            <w:r w:rsidRPr="00E55E05">
              <w:t>Oxford</w:t>
            </w:r>
          </w:p>
        </w:tc>
        <w:tc>
          <w:tcPr>
            <w:tcW w:w="778" w:type="dxa"/>
            <w:vAlign w:val="center"/>
          </w:tcPr>
          <w:p w14:paraId="559D486F" w14:textId="77777777" w:rsidR="00890752" w:rsidRPr="00E55E05" w:rsidRDefault="00890752" w:rsidP="001B561D">
            <w:pPr>
              <w:spacing w:after="0"/>
            </w:pPr>
            <w:r w:rsidRPr="00E55E05">
              <w:t>40</w:t>
            </w:r>
          </w:p>
        </w:tc>
        <w:tc>
          <w:tcPr>
            <w:tcW w:w="778" w:type="dxa"/>
            <w:vAlign w:val="center"/>
          </w:tcPr>
          <w:p w14:paraId="0DF0B686" w14:textId="77777777" w:rsidR="00890752" w:rsidRDefault="00E55E05" w:rsidP="001B561D">
            <w:pPr>
              <w:spacing w:after="0"/>
            </w:pPr>
            <w:r>
              <w:t>27</w:t>
            </w:r>
          </w:p>
        </w:tc>
        <w:tc>
          <w:tcPr>
            <w:tcW w:w="778" w:type="dxa"/>
            <w:vAlign w:val="center"/>
          </w:tcPr>
          <w:p w14:paraId="6696F13E" w14:textId="77777777" w:rsidR="00890752" w:rsidRDefault="00890752" w:rsidP="001B561D">
            <w:pPr>
              <w:spacing w:after="0"/>
            </w:pPr>
            <w:r>
              <w:t>40</w:t>
            </w:r>
          </w:p>
        </w:tc>
      </w:tr>
      <w:tr w:rsidR="00890752" w14:paraId="66571902" w14:textId="77777777" w:rsidTr="00911728">
        <w:trPr>
          <w:trHeight w:val="310"/>
        </w:trPr>
        <w:tc>
          <w:tcPr>
            <w:tcW w:w="1762" w:type="dxa"/>
            <w:vAlign w:val="center"/>
          </w:tcPr>
          <w:p w14:paraId="0AC8021A" w14:textId="77777777" w:rsidR="00890752" w:rsidRPr="00E55E05" w:rsidRDefault="00890752" w:rsidP="001B561D">
            <w:pPr>
              <w:spacing w:after="0"/>
            </w:pPr>
            <w:r w:rsidRPr="00E55E05">
              <w:t>Penobscot</w:t>
            </w:r>
          </w:p>
        </w:tc>
        <w:tc>
          <w:tcPr>
            <w:tcW w:w="778" w:type="dxa"/>
            <w:vAlign w:val="center"/>
          </w:tcPr>
          <w:p w14:paraId="36055864" w14:textId="77777777" w:rsidR="00890752" w:rsidRPr="00E55E05" w:rsidRDefault="00890752" w:rsidP="001B561D">
            <w:pPr>
              <w:spacing w:after="0"/>
            </w:pPr>
            <w:r w:rsidRPr="00E55E05">
              <w:t>138</w:t>
            </w:r>
          </w:p>
        </w:tc>
        <w:tc>
          <w:tcPr>
            <w:tcW w:w="778" w:type="dxa"/>
            <w:vAlign w:val="center"/>
          </w:tcPr>
          <w:p w14:paraId="061CCFF8" w14:textId="77777777" w:rsidR="00890752" w:rsidRDefault="00E55E05" w:rsidP="001B561D">
            <w:pPr>
              <w:spacing w:after="0"/>
            </w:pPr>
            <w:r>
              <w:t>146</w:t>
            </w:r>
          </w:p>
        </w:tc>
        <w:tc>
          <w:tcPr>
            <w:tcW w:w="778" w:type="dxa"/>
            <w:vAlign w:val="center"/>
          </w:tcPr>
          <w:p w14:paraId="1A631631" w14:textId="77777777" w:rsidR="00890752" w:rsidRDefault="00890752" w:rsidP="001B561D">
            <w:pPr>
              <w:spacing w:after="0"/>
            </w:pPr>
            <w:r>
              <w:t>154</w:t>
            </w:r>
          </w:p>
        </w:tc>
      </w:tr>
      <w:tr w:rsidR="00890752" w14:paraId="3FE49217" w14:textId="77777777" w:rsidTr="00911728">
        <w:trPr>
          <w:trHeight w:val="310"/>
        </w:trPr>
        <w:tc>
          <w:tcPr>
            <w:tcW w:w="1762" w:type="dxa"/>
            <w:vAlign w:val="center"/>
          </w:tcPr>
          <w:p w14:paraId="36675F4F" w14:textId="77777777" w:rsidR="00890752" w:rsidRDefault="00890752" w:rsidP="001B561D">
            <w:pPr>
              <w:spacing w:after="0"/>
            </w:pPr>
            <w:r>
              <w:t>Piscataquis</w:t>
            </w:r>
          </w:p>
        </w:tc>
        <w:tc>
          <w:tcPr>
            <w:tcW w:w="778" w:type="dxa"/>
            <w:vAlign w:val="center"/>
          </w:tcPr>
          <w:p w14:paraId="36C01DA9" w14:textId="77777777" w:rsidR="00890752" w:rsidRDefault="00890752" w:rsidP="001B561D">
            <w:pPr>
              <w:spacing w:after="0"/>
            </w:pPr>
            <w:r>
              <w:t>1</w:t>
            </w:r>
            <w:r w:rsidR="00E55E05">
              <w:t>8</w:t>
            </w:r>
          </w:p>
        </w:tc>
        <w:tc>
          <w:tcPr>
            <w:tcW w:w="778" w:type="dxa"/>
            <w:vAlign w:val="center"/>
          </w:tcPr>
          <w:p w14:paraId="033EAC92" w14:textId="77777777" w:rsidR="00890752" w:rsidRDefault="00E55E05" w:rsidP="001B561D">
            <w:pPr>
              <w:spacing w:after="0"/>
            </w:pPr>
            <w:r>
              <w:t>13</w:t>
            </w:r>
          </w:p>
        </w:tc>
        <w:tc>
          <w:tcPr>
            <w:tcW w:w="778" w:type="dxa"/>
            <w:vAlign w:val="center"/>
          </w:tcPr>
          <w:p w14:paraId="166F1E28" w14:textId="77777777" w:rsidR="00890752" w:rsidRDefault="00890752" w:rsidP="001B561D">
            <w:pPr>
              <w:spacing w:after="0"/>
            </w:pPr>
            <w:r>
              <w:t>15</w:t>
            </w:r>
          </w:p>
        </w:tc>
      </w:tr>
      <w:tr w:rsidR="00890752" w14:paraId="524DC787" w14:textId="77777777" w:rsidTr="00911728">
        <w:trPr>
          <w:trHeight w:val="310"/>
        </w:trPr>
        <w:tc>
          <w:tcPr>
            <w:tcW w:w="1762" w:type="dxa"/>
            <w:vAlign w:val="center"/>
          </w:tcPr>
          <w:p w14:paraId="3EC5579E" w14:textId="77777777" w:rsidR="00890752" w:rsidRDefault="00890752" w:rsidP="001B561D">
            <w:pPr>
              <w:spacing w:after="0"/>
            </w:pPr>
            <w:r>
              <w:t>Sagadahoc</w:t>
            </w:r>
          </w:p>
        </w:tc>
        <w:tc>
          <w:tcPr>
            <w:tcW w:w="778" w:type="dxa"/>
            <w:vAlign w:val="center"/>
          </w:tcPr>
          <w:p w14:paraId="33BF2B61" w14:textId="77777777" w:rsidR="00890752" w:rsidRDefault="00890752" w:rsidP="001B561D">
            <w:pPr>
              <w:spacing w:after="0"/>
            </w:pPr>
            <w:r>
              <w:t>12</w:t>
            </w:r>
          </w:p>
        </w:tc>
        <w:tc>
          <w:tcPr>
            <w:tcW w:w="778" w:type="dxa"/>
            <w:vAlign w:val="center"/>
          </w:tcPr>
          <w:p w14:paraId="47F0000E" w14:textId="77777777" w:rsidR="00890752" w:rsidRDefault="00E55E05" w:rsidP="001B561D">
            <w:pPr>
              <w:spacing w:after="0"/>
            </w:pPr>
            <w:r>
              <w:t>4</w:t>
            </w:r>
          </w:p>
        </w:tc>
        <w:tc>
          <w:tcPr>
            <w:tcW w:w="778" w:type="dxa"/>
            <w:vAlign w:val="center"/>
          </w:tcPr>
          <w:p w14:paraId="5D3EEE6E" w14:textId="77777777" w:rsidR="00890752" w:rsidRDefault="00890752" w:rsidP="001B561D">
            <w:pPr>
              <w:spacing w:after="0"/>
            </w:pPr>
            <w:r>
              <w:t>11</w:t>
            </w:r>
          </w:p>
        </w:tc>
      </w:tr>
      <w:tr w:rsidR="00890752" w14:paraId="249D4820" w14:textId="77777777" w:rsidTr="00911728">
        <w:trPr>
          <w:trHeight w:val="310"/>
        </w:trPr>
        <w:tc>
          <w:tcPr>
            <w:tcW w:w="1762" w:type="dxa"/>
            <w:vAlign w:val="center"/>
          </w:tcPr>
          <w:p w14:paraId="0CEC7085" w14:textId="77777777" w:rsidR="00890752" w:rsidRDefault="00890752" w:rsidP="001B561D">
            <w:pPr>
              <w:spacing w:after="0"/>
            </w:pPr>
            <w:r>
              <w:t>Somerset</w:t>
            </w:r>
          </w:p>
        </w:tc>
        <w:tc>
          <w:tcPr>
            <w:tcW w:w="778" w:type="dxa"/>
            <w:vAlign w:val="center"/>
          </w:tcPr>
          <w:p w14:paraId="65A55610" w14:textId="77777777" w:rsidR="00890752" w:rsidRDefault="00890752" w:rsidP="001B561D">
            <w:pPr>
              <w:spacing w:after="0"/>
            </w:pPr>
            <w:r>
              <w:t>35</w:t>
            </w:r>
          </w:p>
        </w:tc>
        <w:tc>
          <w:tcPr>
            <w:tcW w:w="778" w:type="dxa"/>
            <w:vAlign w:val="center"/>
          </w:tcPr>
          <w:p w14:paraId="12E3830D" w14:textId="77777777" w:rsidR="00890752" w:rsidRDefault="00E55E05" w:rsidP="001B561D">
            <w:pPr>
              <w:spacing w:after="0"/>
            </w:pPr>
            <w:r>
              <w:t>17</w:t>
            </w:r>
          </w:p>
        </w:tc>
        <w:tc>
          <w:tcPr>
            <w:tcW w:w="778" w:type="dxa"/>
            <w:vAlign w:val="center"/>
          </w:tcPr>
          <w:p w14:paraId="3D273807" w14:textId="77777777" w:rsidR="00890752" w:rsidRDefault="00890752" w:rsidP="001B561D">
            <w:pPr>
              <w:spacing w:after="0"/>
            </w:pPr>
            <w:r>
              <w:t>37</w:t>
            </w:r>
          </w:p>
        </w:tc>
      </w:tr>
      <w:tr w:rsidR="00890752" w14:paraId="4948A791" w14:textId="77777777" w:rsidTr="00911728">
        <w:trPr>
          <w:trHeight w:val="310"/>
        </w:trPr>
        <w:tc>
          <w:tcPr>
            <w:tcW w:w="1762" w:type="dxa"/>
            <w:vAlign w:val="center"/>
          </w:tcPr>
          <w:p w14:paraId="40E4B676" w14:textId="77777777" w:rsidR="00890752" w:rsidRDefault="00890752" w:rsidP="001B561D">
            <w:pPr>
              <w:spacing w:after="0"/>
            </w:pPr>
            <w:r>
              <w:t>Waldo</w:t>
            </w:r>
          </w:p>
        </w:tc>
        <w:tc>
          <w:tcPr>
            <w:tcW w:w="778" w:type="dxa"/>
            <w:vAlign w:val="center"/>
          </w:tcPr>
          <w:p w14:paraId="2138A79C" w14:textId="77777777" w:rsidR="00890752" w:rsidRDefault="00890752" w:rsidP="001B561D">
            <w:pPr>
              <w:spacing w:after="0"/>
            </w:pPr>
            <w:r>
              <w:t>19</w:t>
            </w:r>
          </w:p>
        </w:tc>
        <w:tc>
          <w:tcPr>
            <w:tcW w:w="778" w:type="dxa"/>
            <w:vAlign w:val="center"/>
          </w:tcPr>
          <w:p w14:paraId="1582BDE0" w14:textId="77777777" w:rsidR="00890752" w:rsidRDefault="00E55E05" w:rsidP="001B561D">
            <w:pPr>
              <w:spacing w:after="0"/>
            </w:pPr>
            <w:r>
              <w:t>23</w:t>
            </w:r>
          </w:p>
        </w:tc>
        <w:tc>
          <w:tcPr>
            <w:tcW w:w="778" w:type="dxa"/>
            <w:vAlign w:val="center"/>
          </w:tcPr>
          <w:p w14:paraId="53BB08AD" w14:textId="77777777" w:rsidR="00890752" w:rsidRDefault="00890752" w:rsidP="001B561D">
            <w:pPr>
              <w:spacing w:after="0"/>
            </w:pPr>
            <w:r>
              <w:t>28</w:t>
            </w:r>
          </w:p>
        </w:tc>
      </w:tr>
      <w:tr w:rsidR="00890752" w14:paraId="270E9221" w14:textId="77777777" w:rsidTr="00911728">
        <w:trPr>
          <w:trHeight w:val="310"/>
        </w:trPr>
        <w:tc>
          <w:tcPr>
            <w:tcW w:w="1762" w:type="dxa"/>
            <w:vAlign w:val="center"/>
          </w:tcPr>
          <w:p w14:paraId="035153E6" w14:textId="77777777" w:rsidR="00890752" w:rsidRDefault="00890752" w:rsidP="001B561D">
            <w:pPr>
              <w:spacing w:after="0"/>
            </w:pPr>
            <w:r>
              <w:t>Washington</w:t>
            </w:r>
          </w:p>
        </w:tc>
        <w:tc>
          <w:tcPr>
            <w:tcW w:w="778" w:type="dxa"/>
            <w:vAlign w:val="center"/>
          </w:tcPr>
          <w:p w14:paraId="620C5972" w14:textId="77777777" w:rsidR="00890752" w:rsidRDefault="00890752" w:rsidP="001B561D">
            <w:pPr>
              <w:spacing w:after="0"/>
            </w:pPr>
            <w:r>
              <w:t>25</w:t>
            </w:r>
          </w:p>
        </w:tc>
        <w:tc>
          <w:tcPr>
            <w:tcW w:w="778" w:type="dxa"/>
            <w:vAlign w:val="center"/>
          </w:tcPr>
          <w:p w14:paraId="0ED061C8" w14:textId="77777777" w:rsidR="00890752" w:rsidRDefault="00E55E05" w:rsidP="001B561D">
            <w:pPr>
              <w:spacing w:after="0"/>
            </w:pPr>
            <w:r>
              <w:t>19</w:t>
            </w:r>
          </w:p>
        </w:tc>
        <w:tc>
          <w:tcPr>
            <w:tcW w:w="778" w:type="dxa"/>
            <w:vAlign w:val="center"/>
          </w:tcPr>
          <w:p w14:paraId="6B43E755" w14:textId="77777777" w:rsidR="00890752" w:rsidRDefault="00890752" w:rsidP="001B561D">
            <w:pPr>
              <w:spacing w:after="0"/>
            </w:pPr>
            <w:r>
              <w:t>25</w:t>
            </w:r>
          </w:p>
        </w:tc>
      </w:tr>
      <w:tr w:rsidR="00890752" w14:paraId="6969CB3F" w14:textId="77777777" w:rsidTr="00911728">
        <w:trPr>
          <w:trHeight w:val="310"/>
        </w:trPr>
        <w:tc>
          <w:tcPr>
            <w:tcW w:w="1762" w:type="dxa"/>
            <w:vAlign w:val="center"/>
          </w:tcPr>
          <w:p w14:paraId="7508C557" w14:textId="77777777" w:rsidR="00890752" w:rsidRDefault="00890752" w:rsidP="001B561D">
            <w:pPr>
              <w:spacing w:after="0"/>
            </w:pPr>
            <w:r>
              <w:t>York</w:t>
            </w:r>
          </w:p>
        </w:tc>
        <w:tc>
          <w:tcPr>
            <w:tcW w:w="778" w:type="dxa"/>
            <w:vAlign w:val="center"/>
          </w:tcPr>
          <w:p w14:paraId="6C879423" w14:textId="77777777" w:rsidR="00890752" w:rsidRDefault="00890752" w:rsidP="001B561D">
            <w:pPr>
              <w:spacing w:after="0"/>
            </w:pPr>
            <w:r>
              <w:t>102</w:t>
            </w:r>
          </w:p>
        </w:tc>
        <w:tc>
          <w:tcPr>
            <w:tcW w:w="778" w:type="dxa"/>
            <w:vAlign w:val="center"/>
          </w:tcPr>
          <w:p w14:paraId="284AF488" w14:textId="77777777" w:rsidR="00890752" w:rsidRDefault="00E55E05" w:rsidP="001B561D">
            <w:pPr>
              <w:spacing w:after="0"/>
            </w:pPr>
            <w:r>
              <w:t>72</w:t>
            </w:r>
          </w:p>
        </w:tc>
        <w:tc>
          <w:tcPr>
            <w:tcW w:w="778" w:type="dxa"/>
            <w:vAlign w:val="center"/>
          </w:tcPr>
          <w:p w14:paraId="5E93DBF2" w14:textId="77777777" w:rsidR="00890752" w:rsidRDefault="00890752" w:rsidP="001B561D">
            <w:pPr>
              <w:spacing w:after="0"/>
            </w:pPr>
            <w:r>
              <w:t>93</w:t>
            </w:r>
          </w:p>
        </w:tc>
      </w:tr>
      <w:tr w:rsidR="00890752" w:rsidRPr="00890752" w14:paraId="15D0FE9B" w14:textId="77777777" w:rsidTr="00911728">
        <w:trPr>
          <w:trHeight w:val="310"/>
        </w:trPr>
        <w:tc>
          <w:tcPr>
            <w:tcW w:w="1762" w:type="dxa"/>
            <w:vAlign w:val="center"/>
          </w:tcPr>
          <w:p w14:paraId="1AA72527" w14:textId="77777777" w:rsidR="00890752" w:rsidRPr="00890752" w:rsidRDefault="00890752" w:rsidP="001B561D">
            <w:pPr>
              <w:spacing w:after="0"/>
              <w:rPr>
                <w:b/>
              </w:rPr>
            </w:pPr>
            <w:r>
              <w:rPr>
                <w:b/>
              </w:rPr>
              <w:t>Total</w:t>
            </w:r>
          </w:p>
        </w:tc>
        <w:tc>
          <w:tcPr>
            <w:tcW w:w="778" w:type="dxa"/>
            <w:vAlign w:val="center"/>
          </w:tcPr>
          <w:p w14:paraId="194906E9" w14:textId="77777777" w:rsidR="00890752" w:rsidRPr="00890752" w:rsidRDefault="00E55E05" w:rsidP="001B561D">
            <w:pPr>
              <w:spacing w:after="0"/>
              <w:rPr>
                <w:b/>
              </w:rPr>
            </w:pPr>
            <w:r>
              <w:rPr>
                <w:b/>
              </w:rPr>
              <w:t>817</w:t>
            </w:r>
          </w:p>
        </w:tc>
        <w:tc>
          <w:tcPr>
            <w:tcW w:w="778" w:type="dxa"/>
            <w:vAlign w:val="center"/>
          </w:tcPr>
          <w:p w14:paraId="219AE5E6" w14:textId="77777777" w:rsidR="00890752" w:rsidRPr="00890752" w:rsidRDefault="00E55E05" w:rsidP="001B561D">
            <w:pPr>
              <w:spacing w:after="0"/>
              <w:rPr>
                <w:b/>
              </w:rPr>
            </w:pPr>
            <w:r>
              <w:rPr>
                <w:b/>
              </w:rPr>
              <w:t>668</w:t>
            </w:r>
          </w:p>
        </w:tc>
        <w:tc>
          <w:tcPr>
            <w:tcW w:w="778" w:type="dxa"/>
            <w:vAlign w:val="center"/>
          </w:tcPr>
          <w:p w14:paraId="4E726672" w14:textId="77777777" w:rsidR="00890752" w:rsidRPr="00890752" w:rsidRDefault="00890752" w:rsidP="001B561D">
            <w:pPr>
              <w:spacing w:after="0"/>
              <w:rPr>
                <w:b/>
              </w:rPr>
            </w:pPr>
            <w:r>
              <w:rPr>
                <w:b/>
              </w:rPr>
              <w:t>849</w:t>
            </w:r>
          </w:p>
        </w:tc>
      </w:tr>
    </w:tbl>
    <w:p w14:paraId="3B56D3F1" w14:textId="77777777" w:rsidR="0087490D" w:rsidRPr="0087490D" w:rsidRDefault="0087490D" w:rsidP="00591ECA">
      <w:pPr>
        <w:pStyle w:val="Heading2"/>
      </w:pPr>
      <w:bookmarkStart w:id="36" w:name="_Toc179457423"/>
      <w:r>
        <w:t>Percentage of Represented Respondents by County</w:t>
      </w:r>
      <w:bookmarkEnd w:id="36"/>
    </w:p>
    <w:p w14:paraId="0D0D9986" w14:textId="77777777" w:rsidR="00E960F7" w:rsidRDefault="00E960F7" w:rsidP="00846811">
      <w:r>
        <w:rPr>
          <w:noProof/>
        </w:rPr>
        <w:drawing>
          <wp:inline distT="0" distB="0" distL="0" distR="0" wp14:anchorId="22BC3A16" wp14:editId="6B79669B">
            <wp:extent cx="5943600" cy="3017520"/>
            <wp:effectExtent l="0" t="0" r="0" b="11430"/>
            <wp:docPr id="13" name="Chart 13" descr="Bar graph showing the rate of representation of Respondents for each county in 2019:&#10;Androscoggin: 8%&#10;Aroostook: 17%&#10;Cumberland: 29%&#10;Franklin: 30%&#10;Hancock: 29%&#10;Kennebec: 31%&#10;Knox: 26%&#10;Lincoln: 0%&#10;Oxford: 15%&#10;Penobscot: 18%&#10;Piscataquis: 0%&#10;Sagadahoc: 8%&#10;Somerset: 17%&#10;Waldo: 16%&#10;Washington: 24%&#10;Yor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C75C68" w14:textId="77777777" w:rsidR="0087490D" w:rsidRDefault="00617F66" w:rsidP="00846811">
      <w:r>
        <w:rPr>
          <w:noProof/>
        </w:rPr>
        <w:lastRenderedPageBreak/>
        <w:drawing>
          <wp:inline distT="0" distB="0" distL="0" distR="0" wp14:anchorId="5377EDD9" wp14:editId="08092BE9">
            <wp:extent cx="5943600" cy="3017520"/>
            <wp:effectExtent l="0" t="0" r="0" b="11430"/>
            <wp:docPr id="38" name="Chart 38" descr="Bar graph showing the rate of representation of Respondents for each county in 2020:&#10;Androscoggin: 16%&#10;Aroostook: 9%&#10;Cumberland: 32%&#10;Franklin: 30%&#10;Hancock: 37%&#10;Kennebec: 28%&#10;Knox: 18%&#10;Lincoln: 40%&#10;Oxford: 4%&#10;Penobscot: 35%&#10;Piscataquis: 23%&#10;Sagadahoc: 0%&#10;Somerset: 6%&#10;Waldo: 35%&#10;Washington: 21%&#10;Yor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30DA7F" w14:textId="77777777" w:rsidR="00617F66" w:rsidRDefault="00617F66" w:rsidP="00846811">
      <w:r>
        <w:rPr>
          <w:noProof/>
        </w:rPr>
        <w:drawing>
          <wp:inline distT="0" distB="0" distL="0" distR="0" wp14:anchorId="209A6669" wp14:editId="183050C7">
            <wp:extent cx="5943600" cy="3017520"/>
            <wp:effectExtent l="0" t="0" r="0" b="11430"/>
            <wp:docPr id="39" name="Chart 39" descr="Bar graph showing the rate of representation of Respondents for each county in 2021:&#10;Androscoggin: 17%&#10;Aroostook: 14%&#10;Cumberland: 30%&#10;Franklin: 5%&#10;Hancock: 15%&#10;Kennebec: 33%&#10;Knox: 38%&#10;Lincoln: 38%&#10;Oxford: 23%&#10;Penobscot: 29%&#10;Piscataquis: 13%&#10;Sagadahoc: 27%&#10;Somerset: 3%&#10;Waldo: 32%&#10;Washington: 24%&#10;Yor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D62B5A" w14:textId="77777777" w:rsidR="00EC076C" w:rsidRDefault="00EC076C" w:rsidP="00017521">
      <w:pPr>
        <w:pStyle w:val="Heading2"/>
      </w:pPr>
      <w:bookmarkStart w:id="37" w:name="_Toc179457424"/>
      <w:r>
        <w:lastRenderedPageBreak/>
        <w:t>Guardianship Petitions that Resulted in Guardianships by County</w:t>
      </w:r>
      <w:bookmarkEnd w:id="37"/>
    </w:p>
    <w:p w14:paraId="1D4A0AAB" w14:textId="77777777" w:rsidR="00EC076C" w:rsidRDefault="00EC076C" w:rsidP="00EC076C">
      <w:r>
        <w:rPr>
          <w:noProof/>
        </w:rPr>
        <w:drawing>
          <wp:inline distT="0" distB="0" distL="0" distR="0" wp14:anchorId="6232581D" wp14:editId="42273E07">
            <wp:extent cx="5943600" cy="3840480"/>
            <wp:effectExtent l="0" t="0" r="0" b="7620"/>
            <wp:docPr id="2" name="Chart 2" descr="Bar graph showing the rate at which petitions resulted in guardianship orders for each county in 2019:&#10;Androscoggin: 83%&#10;Aroostook: 66%&#10;Cumberland: 66%&#10;Franklin: 70%&#10;Hancock: 71%&#10;Kennebec: 82%&#10;Knox: 100%&#10;Lincoln: 100%&#10;Oxford: 73%&#10;Penobscot: 78%&#10;Piscataquis: 83%&#10;Sagadahoc: 67%&#10;Somerset: 74%&#10;Waldo: 84%&#10;Washington: 84%&#10;Yor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87F60C" w14:textId="77777777" w:rsidR="009C7528" w:rsidRDefault="009C7528" w:rsidP="00EC076C">
      <w:r>
        <w:rPr>
          <w:noProof/>
        </w:rPr>
        <w:drawing>
          <wp:inline distT="0" distB="0" distL="0" distR="0" wp14:anchorId="6F477CDD" wp14:editId="398595B6">
            <wp:extent cx="5943600" cy="3840480"/>
            <wp:effectExtent l="0" t="0" r="0" b="7620"/>
            <wp:docPr id="5" name="Chart 5" descr="Bar graph showing the rate at which petitions resulted in guardianship orders for each county in 2020:&#10;Androscoggin: 81%&#10;Aroostook: 96%&#10;Cumberland: 71%&#10;Franklin: 70%&#10;Hancock: 83%&#10;Kennebec: 81%&#10;Knox: 94%&#10;Lincoln: 80%&#10;Oxford: 78%&#10;Penobscot: 74%&#10;Piscataquis: 100%&#10;Sagadahoc: 50%&#10;Somerset: 76%&#10;Waldo: 96%&#10;Washington: 84%&#10;York: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F6FF7A" w14:textId="77777777" w:rsidR="009C7528" w:rsidRPr="00EC076C" w:rsidRDefault="009C7528" w:rsidP="00EC076C">
      <w:r>
        <w:rPr>
          <w:noProof/>
        </w:rPr>
        <w:lastRenderedPageBreak/>
        <w:drawing>
          <wp:inline distT="0" distB="0" distL="0" distR="0" wp14:anchorId="7D73C9FB" wp14:editId="58CA5F4B">
            <wp:extent cx="5943600" cy="3840480"/>
            <wp:effectExtent l="0" t="0" r="0" b="7620"/>
            <wp:docPr id="7" name="Chart 7" descr="Bar graph showing the rate at which petitions resulted in guardianship orders for each county in 2021:&#10;Androscoggin: 87%&#10;Aroostook: 74%&#10;Cumberland: 77%&#10;Franklin: 95%&#10;Hancock: 85%&#10;Kennebec: 71%&#10;Knox: 94%&#10;Lincoln: 81%&#10;Oxford: 80%&#10;Penobscot: 77%&#10;Piscataquis: 73%&#10;Sagadahoc: 64%&#10;Somerset: 62%&#10;Waldo: 68%&#10;Washington: 56%&#10;York: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sectPr w:rsidR="009C7528" w:rsidRPr="00EC076C" w:rsidSect="0052545D">
      <w:footerReference w:type="default" r:id="rId4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68267" w14:textId="77777777" w:rsidR="00C4247C" w:rsidRDefault="00C4247C" w:rsidP="00846811">
      <w:r>
        <w:separator/>
      </w:r>
    </w:p>
  </w:endnote>
  <w:endnote w:type="continuationSeparator" w:id="0">
    <w:p w14:paraId="7A646EF5" w14:textId="77777777" w:rsidR="00C4247C" w:rsidRDefault="00C4247C" w:rsidP="0084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4F21" w14:textId="77777777" w:rsidR="00C4247C" w:rsidRDefault="00C4247C" w:rsidP="00580806">
    <w:pPr>
      <w:pStyle w:val="Footer"/>
      <w:tabs>
        <w:tab w:val="clear" w:pos="4680"/>
      </w:tabs>
    </w:pPr>
    <w:r>
      <w:tab/>
    </w:r>
    <w:r>
      <w:rPr>
        <w:sz w:val="20"/>
        <w:szCs w:val="20"/>
      </w:rPr>
      <w:t xml:space="preserve">Disability Rights Maine – Overprotected and Underrepresented ||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9327F" w14:textId="77777777" w:rsidR="00C4247C" w:rsidRDefault="00C4247C" w:rsidP="005260BB">
      <w:pPr>
        <w:spacing w:after="120"/>
      </w:pPr>
      <w:r>
        <w:separator/>
      </w:r>
    </w:p>
  </w:footnote>
  <w:footnote w:type="continuationSeparator" w:id="0">
    <w:p w14:paraId="3730BCB4" w14:textId="77777777" w:rsidR="00C4247C" w:rsidRDefault="00C4247C" w:rsidP="005260BB">
      <w:pPr>
        <w:spacing w:after="120"/>
      </w:pPr>
      <w:r>
        <w:continuationSeparator/>
      </w:r>
    </w:p>
  </w:footnote>
  <w:footnote w:type="continuationNotice" w:id="1">
    <w:p w14:paraId="01771A38" w14:textId="77777777" w:rsidR="00C4247C" w:rsidRDefault="00C4247C">
      <w:pPr>
        <w:spacing w:after="0"/>
      </w:pPr>
    </w:p>
  </w:footnote>
  <w:footnote w:id="2">
    <w:p w14:paraId="3D3C6B8D" w14:textId="7F04FD9A" w:rsidR="00C4247C" w:rsidRDefault="00C4247C">
      <w:pPr>
        <w:pStyle w:val="FootnoteText"/>
      </w:pPr>
      <w:r>
        <w:rPr>
          <w:rStyle w:val="FootnoteReference"/>
        </w:rPr>
        <w:footnoteRef/>
      </w:r>
      <w:r>
        <w:t xml:space="preserve"> </w:t>
      </w:r>
      <w:r w:rsidR="00E444C5">
        <w:t>In some</w:t>
      </w:r>
      <w:r>
        <w:t xml:space="preserve"> states</w:t>
      </w:r>
      <w:r w:rsidR="00E444C5">
        <w:t xml:space="preserve">, </w:t>
      </w:r>
      <w:r>
        <w:t xml:space="preserve">guardianship </w:t>
      </w:r>
      <w:r w:rsidR="00E444C5">
        <w:t>is</w:t>
      </w:r>
      <w:r>
        <w:t xml:space="preserve"> called “conservatorship.”  </w:t>
      </w:r>
      <w:r w:rsidRPr="00F60852">
        <w:t>In</w:t>
      </w:r>
      <w:r>
        <w:t xml:space="preserve"> </w:t>
      </w:r>
      <w:r w:rsidRPr="00F60852">
        <w:t xml:space="preserve">Maine, </w:t>
      </w:r>
      <w:r>
        <w:t>these are two different concepts.</w:t>
      </w:r>
      <w:r w:rsidRPr="00F60852">
        <w:t xml:space="preserve">  Put most simply, guardianship involves making decisions concerning another person, while conservatorship involves making decisions concerning another person’s property and financial affairs.  18-C M.R.S. §§ 5-102(6)</w:t>
      </w:r>
      <w:r w:rsidR="004E3077">
        <w:t>,</w:t>
      </w:r>
      <w:r w:rsidRPr="00F60852">
        <w:t xml:space="preserve"> (10)</w:t>
      </w:r>
      <w:r>
        <w:t>.</w:t>
      </w:r>
    </w:p>
  </w:footnote>
  <w:footnote w:id="3">
    <w:p w14:paraId="51F6C7C7" w14:textId="77777777" w:rsidR="00C4247C" w:rsidRDefault="00C4247C" w:rsidP="00846811">
      <w:pPr>
        <w:pStyle w:val="FootnoteText"/>
      </w:pPr>
      <w:r>
        <w:rPr>
          <w:rStyle w:val="FootnoteReference"/>
        </w:rPr>
        <w:footnoteRef/>
      </w:r>
      <w:r>
        <w:t xml:space="preserve"> 18-C M.R.S. </w:t>
      </w:r>
      <w:r>
        <w:rPr>
          <w:rFonts w:cs="Times New Roman"/>
        </w:rPr>
        <w:t>§</w:t>
      </w:r>
      <w:r>
        <w:t xml:space="preserve"> 5-301(1).</w:t>
      </w:r>
    </w:p>
  </w:footnote>
  <w:footnote w:id="4">
    <w:p w14:paraId="035B090B" w14:textId="77777777" w:rsidR="00C4247C" w:rsidRDefault="00C4247C">
      <w:pPr>
        <w:pStyle w:val="FootnoteText"/>
      </w:pPr>
      <w:r>
        <w:rPr>
          <w:rStyle w:val="FootnoteReference"/>
        </w:rPr>
        <w:footnoteRef/>
      </w:r>
      <w:r>
        <w:t xml:space="preserve"> 18-C M.R.S. </w:t>
      </w:r>
      <w:r>
        <w:rPr>
          <w:rFonts w:cs="Times New Roman"/>
        </w:rPr>
        <w:t>§</w:t>
      </w:r>
      <w:r>
        <w:t xml:space="preserve"> 5-305(1).</w:t>
      </w:r>
    </w:p>
  </w:footnote>
  <w:footnote w:id="5">
    <w:p w14:paraId="5676A61D" w14:textId="77777777" w:rsidR="00C4247C" w:rsidRDefault="00C4247C">
      <w:pPr>
        <w:pStyle w:val="FootnoteText"/>
      </w:pPr>
      <w:r>
        <w:rPr>
          <w:rStyle w:val="FootnoteReference"/>
        </w:rPr>
        <w:footnoteRef/>
      </w:r>
      <w:r>
        <w:t xml:space="preserve"> It is also worth noting that the Maine Rules of Professional Conduct, the ethical rules to which all lawyers are bound, also gives guidance to attorneys working with clients with “diminished capacity,” highlighting that a lawyer should maintain a “normal client-lawyer relationship” to the extent possible.  M.R. Prof. Conduct 1.14.</w:t>
      </w:r>
    </w:p>
  </w:footnote>
  <w:footnote w:id="6">
    <w:p w14:paraId="20CF8C71" w14:textId="695D5737" w:rsidR="00C4247C" w:rsidRPr="00D255B8" w:rsidRDefault="00C4247C" w:rsidP="00C73DD8">
      <w:pPr>
        <w:pStyle w:val="FootnoteText"/>
      </w:pPr>
      <w:r>
        <w:rPr>
          <w:rStyle w:val="FootnoteReference"/>
        </w:rPr>
        <w:footnoteRef/>
      </w:r>
      <w:r>
        <w:t xml:space="preserve"> </w:t>
      </w:r>
      <w:r w:rsidRPr="00D255B8">
        <w:t>A court-appointed visitor, unlike an attorney, is required in all guardianship cases</w:t>
      </w:r>
      <w:r>
        <w:t>,</w:t>
      </w:r>
      <w:r w:rsidRPr="00D255B8">
        <w:t xml:space="preserve"> and must have “training or experience in the type of abilities, limitations and needs alleged in the petition.”  18-C M.R.S. § 5-304(1).  The visitor is tasked with interviewing people involved and, among other things, explaining the petition and implications to the Respondent, obtaining their views, informing them of their right to an attorney, and offering recommendations to the court of the appropriateness of a guardianship.  18-C M.R.S. §§ 5-304(2)-(4).</w:t>
      </w:r>
      <w:r>
        <w:t xml:space="preserve">  There are no legally mandated training requirements for visitors; whether they have the “training or experience” required in statute is at the discretion of the court without further guidance.  For a more in-depth discussion on the role of court-appointed visitors in Maine, see </w:t>
      </w:r>
      <w:r w:rsidRPr="00D255B8">
        <w:t>Lisa Kay Rosenthal</w:t>
      </w:r>
      <w:r>
        <w:t xml:space="preserve">, </w:t>
      </w:r>
      <w:r>
        <w:rPr>
          <w:i/>
        </w:rPr>
        <w:t>Revisiting the Visitor: Maine’s New Uniform Probate Code &amp; the Evolving Role of the Court-Appointed Visitor in Adult Guardianship Reform</w:t>
      </w:r>
      <w:r>
        <w:t>, 74 Me. L. Rev. 141 (2022).</w:t>
      </w:r>
    </w:p>
  </w:footnote>
  <w:footnote w:id="7">
    <w:p w14:paraId="554B7FB9" w14:textId="77777777" w:rsidR="00C4247C" w:rsidRDefault="00C4247C">
      <w:pPr>
        <w:pStyle w:val="FootnoteText"/>
      </w:pPr>
      <w:r>
        <w:rPr>
          <w:rStyle w:val="FootnoteReference"/>
        </w:rPr>
        <w:footnoteRef/>
      </w:r>
      <w:r>
        <w:t xml:space="preserve"> Uniform Law Commission, </w:t>
      </w:r>
      <w:r>
        <w:rPr>
          <w:i/>
        </w:rPr>
        <w:t xml:space="preserve">2017 </w:t>
      </w:r>
      <w:r w:rsidRPr="00BA70A4">
        <w:rPr>
          <w:i/>
        </w:rPr>
        <w:t>Guardianship, Conservatorship, and Other Protective Arrangements Act</w:t>
      </w:r>
      <w:r w:rsidRPr="00BA70A4">
        <w:t xml:space="preserve">, </w:t>
      </w:r>
      <w:hyperlink r:id="rId1" w:history="1">
        <w:r w:rsidRPr="00874687">
          <w:rPr>
            <w:rStyle w:val="Hyperlink"/>
          </w:rPr>
          <w:t>https://www.uniformlaws.org/committees/community-home?communitykey=2eba8654-8871-4905-ad38-aabbd573911c</w:t>
        </w:r>
      </w:hyperlink>
      <w:r>
        <w:t>.</w:t>
      </w:r>
    </w:p>
  </w:footnote>
  <w:footnote w:id="8">
    <w:p w14:paraId="4C6FD0A5" w14:textId="77777777" w:rsidR="00C4247C" w:rsidRDefault="00C4247C">
      <w:pPr>
        <w:pStyle w:val="FootnoteText"/>
      </w:pPr>
      <w:r>
        <w:rPr>
          <w:rStyle w:val="FootnoteReference"/>
        </w:rPr>
        <w:footnoteRef/>
      </w:r>
      <w:r>
        <w:t xml:space="preserve"> UGCOPAA </w:t>
      </w:r>
      <w:r>
        <w:rPr>
          <w:rFonts w:cs="Times New Roman"/>
        </w:rPr>
        <w:t>§</w:t>
      </w:r>
      <w:r>
        <w:t xml:space="preserve"> 305 cmt. (2017).</w:t>
      </w:r>
    </w:p>
  </w:footnote>
  <w:footnote w:id="9">
    <w:p w14:paraId="78A42E1E" w14:textId="6B5031E9" w:rsidR="00C4247C" w:rsidRDefault="00C4247C" w:rsidP="001B546C">
      <w:pPr>
        <w:pStyle w:val="FootnoteText"/>
      </w:pPr>
      <w:r>
        <w:rPr>
          <w:rStyle w:val="FootnoteReference"/>
        </w:rPr>
        <w:footnoteRef/>
      </w:r>
      <w:r>
        <w:t xml:space="preserve"> U.S. Senate Special Committee on Aging, </w:t>
      </w:r>
      <w:r w:rsidRPr="00977178">
        <w:rPr>
          <w:i/>
        </w:rPr>
        <w:t>Ensuring Trust: Strengthening State Efforts to Overhaul the Guardianship Process and Protect Older Americans</w:t>
      </w:r>
      <w:r>
        <w:t>, 25 (Nov</w:t>
      </w:r>
      <w:r w:rsidR="004E3077">
        <w:t>.</w:t>
      </w:r>
      <w:r>
        <w:t xml:space="preserve"> 2018).</w:t>
      </w:r>
    </w:p>
  </w:footnote>
  <w:footnote w:id="10">
    <w:p w14:paraId="4D8A2F7B" w14:textId="77777777" w:rsidR="00C4247C" w:rsidRPr="00BB79FB" w:rsidRDefault="00C4247C">
      <w:pPr>
        <w:pStyle w:val="FootnoteText"/>
      </w:pPr>
      <w:r>
        <w:rPr>
          <w:rStyle w:val="FootnoteReference"/>
        </w:rPr>
        <w:footnoteRef/>
      </w:r>
      <w:r>
        <w:t xml:space="preserve"> Samantha Hogan, </w:t>
      </w:r>
      <w:r w:rsidRPr="00BB79FB">
        <w:rPr>
          <w:i/>
        </w:rPr>
        <w:t>Calls to overhaul Maine probate courts have stalled for half a century. The most vulnerable people may be at risk</w:t>
      </w:r>
      <w:r>
        <w:rPr>
          <w:i/>
        </w:rPr>
        <w:t>.</w:t>
      </w:r>
      <w:r>
        <w:t>, The Maine Monitor (June 4, 2023) (“</w:t>
      </w:r>
      <w:r w:rsidRPr="00BB79FB">
        <w:t>Some probate courts say they don’t know how many adults are in guardianships or whether they’re still alive.</w:t>
      </w:r>
      <w:r>
        <w:t>”).</w:t>
      </w:r>
    </w:p>
  </w:footnote>
  <w:footnote w:id="11">
    <w:p w14:paraId="494C61D1" w14:textId="7B18857C" w:rsidR="00C4247C" w:rsidRDefault="00C4247C">
      <w:pPr>
        <w:pStyle w:val="FootnoteText"/>
      </w:pPr>
      <w:r>
        <w:rPr>
          <w:rStyle w:val="FootnoteReference"/>
        </w:rPr>
        <w:footnoteRef/>
      </w:r>
      <w:r>
        <w:t xml:space="preserve"> National Core Indicators, </w:t>
      </w:r>
      <w:r w:rsidRPr="004E3077">
        <w:rPr>
          <w:i/>
        </w:rPr>
        <w:t>2018-19 Maine In-Person Survey State Report</w:t>
      </w:r>
      <w:r>
        <w:t>,</w:t>
      </w:r>
      <w:r w:rsidR="004E3077">
        <w:t xml:space="preserve"> at Table 27, p. 19, </w:t>
      </w:r>
      <w:hyperlink r:id="rId2" w:history="1">
        <w:r w:rsidR="004E3077" w:rsidRPr="00827E01">
          <w:rPr>
            <w:rStyle w:val="Hyperlink"/>
          </w:rPr>
          <w:t>https://legacy.</w:t>
        </w:r>
        <w:r w:rsidR="004E3077">
          <w:rPr>
            <w:rStyle w:val="Hyperlink"/>
          </w:rPr>
          <w:t>‌</w:t>
        </w:r>
        <w:r w:rsidR="004E3077" w:rsidRPr="00827E01">
          <w:rPr>
            <w:rStyle w:val="Hyperlink"/>
          </w:rPr>
          <w:t>nationalcoreindicators.org/‌upload/core-indicators/ME_IPS_state_508.pdf</w:t>
        </w:r>
      </w:hyperlink>
      <w:r>
        <w:t>.</w:t>
      </w:r>
    </w:p>
  </w:footnote>
  <w:footnote w:id="12">
    <w:p w14:paraId="12516A7E" w14:textId="77777777" w:rsidR="00C4247C" w:rsidRPr="00E4725E" w:rsidRDefault="00C4247C">
      <w:pPr>
        <w:pStyle w:val="FootnoteText"/>
      </w:pPr>
      <w:r>
        <w:rPr>
          <w:rStyle w:val="FootnoteReference"/>
        </w:rPr>
        <w:footnoteRef/>
      </w:r>
      <w:r>
        <w:t xml:space="preserve"> </w:t>
      </w:r>
      <w:r>
        <w:rPr>
          <w:i/>
        </w:rPr>
        <w:t>Id.</w:t>
      </w:r>
    </w:p>
  </w:footnote>
  <w:footnote w:id="13">
    <w:p w14:paraId="586F15E6" w14:textId="77777777" w:rsidR="00C4247C" w:rsidRPr="009E3B79" w:rsidRDefault="00C4247C" w:rsidP="005260BB">
      <w:pPr>
        <w:pStyle w:val="FootnoteText"/>
      </w:pPr>
      <w:r>
        <w:rPr>
          <w:rStyle w:val="FootnoteReference"/>
        </w:rPr>
        <w:footnoteRef/>
      </w:r>
      <w:r>
        <w:t xml:space="preserve"> Maine Dept. of Health and Human Services, Office of Aging and Disability Services, </w:t>
      </w:r>
      <w:r w:rsidRPr="009E3B79">
        <w:rPr>
          <w:i/>
        </w:rPr>
        <w:t>Quarterly Update: Supporting Adults with Developmental Disabilities and Brain Injury in their Homes and Communities</w:t>
      </w:r>
      <w:r>
        <w:t xml:space="preserve">, </w:t>
      </w:r>
      <w:hyperlink r:id="rId3" w:history="1">
        <w:r w:rsidRPr="002C3723">
          <w:rPr>
            <w:rStyle w:val="Hyperlink"/>
          </w:rPr>
          <w:t>https://www.maine.gov/tools/whatsnew/index.php?topic=DHHS-OES-Updates&amp;id=1614698&amp;v=details-2020</w:t>
        </w:r>
      </w:hyperlink>
      <w:r>
        <w:rPr>
          <w:rStyle w:val="Hyperlink"/>
          <w:u w:val="none"/>
        </w:rPr>
        <w:t>.</w:t>
      </w:r>
      <w:r>
        <w:t xml:space="preserve">  The number 7,434 is derived from adding the number of people receiving and waitlisted for Section 21 and Section 29 services, which are services for individuals with developmental disabilities.  The number of waitlisted individuals was included in the calculation because those individuals are likely receiving case management services, which is included as a state service by NCI.</w:t>
      </w:r>
    </w:p>
  </w:footnote>
  <w:footnote w:id="14">
    <w:p w14:paraId="38A80640" w14:textId="12B58E92" w:rsidR="00C4247C" w:rsidRDefault="00C4247C">
      <w:pPr>
        <w:pStyle w:val="FootnoteText"/>
      </w:pPr>
      <w:r>
        <w:rPr>
          <w:rStyle w:val="FootnoteReference"/>
        </w:rPr>
        <w:footnoteRef/>
      </w:r>
      <w:r>
        <w:t xml:space="preserve"> </w:t>
      </w:r>
      <w:r w:rsidRPr="00872E2A">
        <w:t>“</w:t>
      </w:r>
      <w:r>
        <w:t>D</w:t>
      </w:r>
      <w:r w:rsidRPr="00872E2A">
        <w:t xml:space="preserve">evelopmental disability” is </w:t>
      </w:r>
      <w:r>
        <w:t xml:space="preserve">a general term used to describe a chronic condition of mental or physical impairment that arises before adulthood (“the developmental period”) that substantially limits certain areas of life, such as self-care, language, learning, mobility, and capacity for independent living.  </w:t>
      </w:r>
      <w:r w:rsidRPr="001315FF">
        <w:t>Common examples of developmental disabilities include Intellectual Disability and Autism Spectrum Disorder.</w:t>
      </w:r>
      <w:r>
        <w:t xml:space="preserve">  The “developmental period” may be defined as prior to age 22 (as in federal law) or prior to age 19 (as in Maine statute).  For the purposes of this paper, the nuanced differences in how “developmental disability” is defined are not relevant.  The guardianship petitions that described the individual as having a developmental disability are taken at face value for identification purposes only</w:t>
      </w:r>
      <w:r w:rsidR="005F61B9">
        <w:t>; they</w:t>
      </w:r>
      <w:r>
        <w:t xml:space="preserve"> are not and were not intended as formal diagnoses.</w:t>
      </w:r>
    </w:p>
  </w:footnote>
  <w:footnote w:id="15">
    <w:p w14:paraId="21049C18" w14:textId="736F4482" w:rsidR="00C4247C" w:rsidRPr="003831AB" w:rsidRDefault="00C4247C" w:rsidP="00471650">
      <w:pPr>
        <w:pStyle w:val="FootnoteText"/>
      </w:pPr>
      <w:r>
        <w:rPr>
          <w:rStyle w:val="FootnoteReference"/>
        </w:rPr>
        <w:footnoteRef/>
      </w:r>
      <w:r>
        <w:t xml:space="preserve"> National Council on Disability, </w:t>
      </w:r>
      <w:r w:rsidRPr="003831AB">
        <w:rPr>
          <w:i/>
        </w:rPr>
        <w:t>Turning Rights Into Reality: How Guardianship and Alternatives Impact the Autonomy of People with Intellectual and Developmental Disabilitie</w:t>
      </w:r>
      <w:r>
        <w:rPr>
          <w:i/>
        </w:rPr>
        <w:t>s</w:t>
      </w:r>
      <w:r w:rsidR="005F61B9">
        <w:t xml:space="preserve"> (June 10, 2019)</w:t>
      </w:r>
      <w:r>
        <w:t xml:space="preserve">, </w:t>
      </w:r>
      <w:hyperlink r:id="rId4" w:history="1">
        <w:r w:rsidRPr="000200CA">
          <w:rPr>
            <w:rStyle w:val="Hyperlink"/>
          </w:rPr>
          <w:t>https://www.ncd.gov/report/</w:t>
        </w:r>
        <w:r w:rsidR="005F61B9">
          <w:rPr>
            <w:rStyle w:val="Hyperlink"/>
          </w:rPr>
          <w:t>‌</w:t>
        </w:r>
        <w:r w:rsidRPr="000200CA">
          <w:rPr>
            <w:rStyle w:val="Hyperlink"/>
          </w:rPr>
          <w:t>turning-rights-into-reality-how-guardianship-and-alternatives-impact-the-autonomy-of-people-with-intellectual-and-developmental-disabilities-1/</w:t>
        </w:r>
      </w:hyperlink>
      <w:r>
        <w:t>.</w:t>
      </w:r>
    </w:p>
  </w:footnote>
  <w:footnote w:id="16">
    <w:p w14:paraId="48E50C33" w14:textId="77777777" w:rsidR="00C4247C" w:rsidRPr="00B65F61" w:rsidRDefault="00C4247C">
      <w:pPr>
        <w:pStyle w:val="FootnoteText"/>
        <w:rPr>
          <w:i/>
        </w:rPr>
      </w:pPr>
      <w:r>
        <w:rPr>
          <w:rStyle w:val="FootnoteReference"/>
        </w:rPr>
        <w:footnoteRef/>
      </w:r>
      <w:r>
        <w:t xml:space="preserve"> </w:t>
      </w:r>
      <w:r>
        <w:rPr>
          <w:i/>
        </w:rPr>
        <w:t>Id.</w:t>
      </w:r>
    </w:p>
  </w:footnote>
  <w:footnote w:id="17">
    <w:p w14:paraId="1611E54F" w14:textId="77777777" w:rsidR="00C4247C" w:rsidRDefault="00C4247C" w:rsidP="009B7911">
      <w:pPr>
        <w:pStyle w:val="FootnoteText"/>
      </w:pPr>
      <w:r>
        <w:rPr>
          <w:rStyle w:val="FootnoteReference"/>
        </w:rPr>
        <w:footnoteRef/>
      </w:r>
      <w:r>
        <w:t xml:space="preserve"> A small number of cases we recorded as “n/a.”  These were cases that did not result in a final order on the petition to appoint a guardian, often due to the death of the Respondent prior to a final outcome.  In 2019, seven cases had no final order.  In 2020, ten cases had no final order.  In 2021, there were no cases lacking a final order.</w:t>
      </w:r>
    </w:p>
  </w:footnote>
  <w:footnote w:id="18">
    <w:p w14:paraId="4796C6F0" w14:textId="77777777" w:rsidR="00C4247C" w:rsidRDefault="00C4247C">
      <w:pPr>
        <w:pStyle w:val="FootnoteText"/>
      </w:pPr>
      <w:r>
        <w:rPr>
          <w:rStyle w:val="FootnoteReference"/>
        </w:rPr>
        <w:footnoteRef/>
      </w:r>
      <w:r>
        <w:t xml:space="preserve"> 18-C M.R.S. </w:t>
      </w:r>
      <w:r>
        <w:rPr>
          <w:rFonts w:cs="Times New Roman"/>
        </w:rPr>
        <w:t>§</w:t>
      </w:r>
      <w:r>
        <w:t xml:space="preserve"> 5-301(2).</w:t>
      </w:r>
    </w:p>
  </w:footnote>
  <w:footnote w:id="19">
    <w:p w14:paraId="7E5ACAB6" w14:textId="77777777" w:rsidR="00C4247C" w:rsidRDefault="00C4247C">
      <w:pPr>
        <w:pStyle w:val="FootnoteText"/>
      </w:pPr>
      <w:r>
        <w:rPr>
          <w:rStyle w:val="FootnoteReference"/>
        </w:rPr>
        <w:footnoteRef/>
      </w:r>
      <w:r>
        <w:t xml:space="preserve"> 18-C M.R.S. </w:t>
      </w:r>
      <w:r>
        <w:rPr>
          <w:rFonts w:cs="Times New Roman"/>
        </w:rPr>
        <w:t>§</w:t>
      </w:r>
      <w:r>
        <w:t xml:space="preserve"> 5-301(2).</w:t>
      </w:r>
    </w:p>
  </w:footnote>
  <w:footnote w:id="20">
    <w:p w14:paraId="7C1FAD09" w14:textId="77777777" w:rsidR="00C4247C" w:rsidRDefault="00C4247C">
      <w:pPr>
        <w:pStyle w:val="FootnoteText"/>
      </w:pPr>
      <w:r>
        <w:rPr>
          <w:rStyle w:val="FootnoteReference"/>
        </w:rPr>
        <w:footnoteRef/>
      </w:r>
      <w:r>
        <w:t xml:space="preserve"> 18-C M.R.S. </w:t>
      </w:r>
      <w:r>
        <w:rPr>
          <w:rFonts w:cs="Times New Roman"/>
        </w:rPr>
        <w:t>§</w:t>
      </w:r>
      <w:r>
        <w:t xml:space="preserve"> 5-307(1)-(2).</w:t>
      </w:r>
    </w:p>
  </w:footnote>
  <w:footnote w:id="21">
    <w:p w14:paraId="663E3B76" w14:textId="058B8392" w:rsidR="00C4247C" w:rsidRDefault="00C4247C" w:rsidP="00007B46">
      <w:pPr>
        <w:pStyle w:val="FootnoteText"/>
      </w:pPr>
      <w:r>
        <w:rPr>
          <w:rStyle w:val="FootnoteReference"/>
        </w:rPr>
        <w:footnoteRef/>
      </w:r>
      <w:r>
        <w:t xml:space="preserve"> </w:t>
      </w:r>
      <w:r w:rsidRPr="00A450CA">
        <w:rPr>
          <w:i/>
          <w:iCs/>
        </w:rPr>
        <w:t>See</w:t>
      </w:r>
      <w:r w:rsidRPr="00A450CA">
        <w:t> Melvyn Zarr, </w:t>
      </w:r>
      <w:r w:rsidRPr="00A450CA">
        <w:rPr>
          <w:i/>
          <w:iCs/>
        </w:rPr>
        <w:t>Recollections of My Time in the Civil Rights Movement</w:t>
      </w:r>
      <w:r w:rsidRPr="00A450CA">
        <w:t xml:space="preserve">, 61 Me. L. Rev. 366, 369 </w:t>
      </w:r>
      <w:r>
        <w:t xml:space="preserve">n.9 </w:t>
      </w:r>
      <w:r w:rsidRPr="00A450CA">
        <w:t>(2009</w:t>
      </w:r>
      <w:r>
        <w:t>) (“‘LLDP’ is one of the corny aphorisms that I use in class, knowing that it will provoke snickers, but also secure in the knowledge that students will not forget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BCCC3" w14:textId="77777777" w:rsidR="00C4247C" w:rsidRPr="0007757B" w:rsidRDefault="00C4247C" w:rsidP="0007757B">
    <w:pPr>
      <w:pStyle w:val="Header"/>
      <w:tabs>
        <w:tab w:val="clear" w:pos="4680"/>
      </w:tabs>
      <w:spacing w:after="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D71"/>
    <w:multiLevelType w:val="hybridMultilevel"/>
    <w:tmpl w:val="F6FE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5735F"/>
    <w:multiLevelType w:val="hybridMultilevel"/>
    <w:tmpl w:val="A96C4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BA12C9"/>
    <w:multiLevelType w:val="hybridMultilevel"/>
    <w:tmpl w:val="C3E6F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50352"/>
    <w:multiLevelType w:val="hybridMultilevel"/>
    <w:tmpl w:val="FB5E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7145E"/>
    <w:multiLevelType w:val="hybridMultilevel"/>
    <w:tmpl w:val="B2DE7F0A"/>
    <w:lvl w:ilvl="0" w:tplc="15E6587A">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454EC"/>
    <w:multiLevelType w:val="hybridMultilevel"/>
    <w:tmpl w:val="4B463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566EF"/>
    <w:multiLevelType w:val="hybridMultilevel"/>
    <w:tmpl w:val="342A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80D9E"/>
    <w:multiLevelType w:val="hybridMultilevel"/>
    <w:tmpl w:val="3748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81307"/>
    <w:multiLevelType w:val="hybridMultilevel"/>
    <w:tmpl w:val="486E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654CB"/>
    <w:multiLevelType w:val="hybridMultilevel"/>
    <w:tmpl w:val="75E6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86E32"/>
    <w:multiLevelType w:val="hybridMultilevel"/>
    <w:tmpl w:val="A034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E21DFC"/>
    <w:multiLevelType w:val="hybridMultilevel"/>
    <w:tmpl w:val="E5BA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082BE4"/>
    <w:multiLevelType w:val="hybridMultilevel"/>
    <w:tmpl w:val="3F38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30F37"/>
    <w:multiLevelType w:val="hybridMultilevel"/>
    <w:tmpl w:val="ACD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B369D2"/>
    <w:multiLevelType w:val="hybridMultilevel"/>
    <w:tmpl w:val="C088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B22263"/>
    <w:multiLevelType w:val="hybridMultilevel"/>
    <w:tmpl w:val="A62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73AE9"/>
    <w:multiLevelType w:val="hybridMultilevel"/>
    <w:tmpl w:val="545E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D84314"/>
    <w:multiLevelType w:val="hybridMultilevel"/>
    <w:tmpl w:val="152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346CC"/>
    <w:multiLevelType w:val="hybridMultilevel"/>
    <w:tmpl w:val="AAA4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36ED7"/>
    <w:multiLevelType w:val="hybridMultilevel"/>
    <w:tmpl w:val="DE2E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13"/>
  </w:num>
  <w:num w:numId="5">
    <w:abstractNumId w:val="2"/>
  </w:num>
  <w:num w:numId="6">
    <w:abstractNumId w:val="3"/>
  </w:num>
  <w:num w:numId="7">
    <w:abstractNumId w:val="1"/>
  </w:num>
  <w:num w:numId="8">
    <w:abstractNumId w:val="7"/>
  </w:num>
  <w:num w:numId="9">
    <w:abstractNumId w:val="18"/>
  </w:num>
  <w:num w:numId="10">
    <w:abstractNumId w:val="16"/>
  </w:num>
  <w:num w:numId="11">
    <w:abstractNumId w:val="12"/>
  </w:num>
  <w:num w:numId="12">
    <w:abstractNumId w:val="11"/>
  </w:num>
  <w:num w:numId="13">
    <w:abstractNumId w:val="15"/>
  </w:num>
  <w:num w:numId="14">
    <w:abstractNumId w:val="4"/>
  </w:num>
  <w:num w:numId="15">
    <w:abstractNumId w:val="0"/>
  </w:num>
  <w:num w:numId="16">
    <w:abstractNumId w:val="19"/>
  </w:num>
  <w:num w:numId="17">
    <w:abstractNumId w:val="17"/>
  </w:num>
  <w:num w:numId="18">
    <w:abstractNumId w:val="6"/>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051"/>
    <w:rsid w:val="00005F5E"/>
    <w:rsid w:val="00007318"/>
    <w:rsid w:val="00007B46"/>
    <w:rsid w:val="00017521"/>
    <w:rsid w:val="00021FB6"/>
    <w:rsid w:val="00026668"/>
    <w:rsid w:val="000305CD"/>
    <w:rsid w:val="000306FB"/>
    <w:rsid w:val="00040493"/>
    <w:rsid w:val="000431EA"/>
    <w:rsid w:val="000442C3"/>
    <w:rsid w:val="00045980"/>
    <w:rsid w:val="00045A06"/>
    <w:rsid w:val="00054F27"/>
    <w:rsid w:val="000575B9"/>
    <w:rsid w:val="00065A9C"/>
    <w:rsid w:val="0007757B"/>
    <w:rsid w:val="00083F6A"/>
    <w:rsid w:val="000932D5"/>
    <w:rsid w:val="000A218B"/>
    <w:rsid w:val="000A2F94"/>
    <w:rsid w:val="000A4DB0"/>
    <w:rsid w:val="000C039B"/>
    <w:rsid w:val="000C2B97"/>
    <w:rsid w:val="000C3C44"/>
    <w:rsid w:val="000C492B"/>
    <w:rsid w:val="000D1D7D"/>
    <w:rsid w:val="000D5DD9"/>
    <w:rsid w:val="000E0A93"/>
    <w:rsid w:val="000E3FF4"/>
    <w:rsid w:val="000E485A"/>
    <w:rsid w:val="000F4B47"/>
    <w:rsid w:val="00100FB2"/>
    <w:rsid w:val="00106296"/>
    <w:rsid w:val="001105FC"/>
    <w:rsid w:val="00121A47"/>
    <w:rsid w:val="00126B45"/>
    <w:rsid w:val="00126B54"/>
    <w:rsid w:val="001274C6"/>
    <w:rsid w:val="001315FF"/>
    <w:rsid w:val="00136EE9"/>
    <w:rsid w:val="001372DD"/>
    <w:rsid w:val="001374B6"/>
    <w:rsid w:val="00143E80"/>
    <w:rsid w:val="001464E5"/>
    <w:rsid w:val="00147396"/>
    <w:rsid w:val="001477B9"/>
    <w:rsid w:val="00150AA8"/>
    <w:rsid w:val="00151EFD"/>
    <w:rsid w:val="00162927"/>
    <w:rsid w:val="00164673"/>
    <w:rsid w:val="001668EC"/>
    <w:rsid w:val="00167855"/>
    <w:rsid w:val="00171682"/>
    <w:rsid w:val="001725D9"/>
    <w:rsid w:val="001911A7"/>
    <w:rsid w:val="00191AFF"/>
    <w:rsid w:val="001A6949"/>
    <w:rsid w:val="001A724E"/>
    <w:rsid w:val="001B4DF6"/>
    <w:rsid w:val="001B546C"/>
    <w:rsid w:val="001B561D"/>
    <w:rsid w:val="001B6C4A"/>
    <w:rsid w:val="001C2623"/>
    <w:rsid w:val="001C35B6"/>
    <w:rsid w:val="001C3A82"/>
    <w:rsid w:val="001C3BFB"/>
    <w:rsid w:val="001C5BC6"/>
    <w:rsid w:val="001D1073"/>
    <w:rsid w:val="001D48FE"/>
    <w:rsid w:val="001D4B31"/>
    <w:rsid w:val="001D5FA4"/>
    <w:rsid w:val="001D79C4"/>
    <w:rsid w:val="001E181B"/>
    <w:rsid w:val="001E5227"/>
    <w:rsid w:val="001E5F00"/>
    <w:rsid w:val="001E65F5"/>
    <w:rsid w:val="001F175A"/>
    <w:rsid w:val="001F39D5"/>
    <w:rsid w:val="002048FE"/>
    <w:rsid w:val="00205BC1"/>
    <w:rsid w:val="002105A1"/>
    <w:rsid w:val="00217F12"/>
    <w:rsid w:val="00223EF5"/>
    <w:rsid w:val="00224A47"/>
    <w:rsid w:val="0023004E"/>
    <w:rsid w:val="00232D75"/>
    <w:rsid w:val="0023393A"/>
    <w:rsid w:val="002412D7"/>
    <w:rsid w:val="00245B0A"/>
    <w:rsid w:val="002475A9"/>
    <w:rsid w:val="0025210E"/>
    <w:rsid w:val="00253A83"/>
    <w:rsid w:val="00261765"/>
    <w:rsid w:val="00273AD7"/>
    <w:rsid w:val="0027569D"/>
    <w:rsid w:val="002768E9"/>
    <w:rsid w:val="002878A2"/>
    <w:rsid w:val="00292600"/>
    <w:rsid w:val="002A2A93"/>
    <w:rsid w:val="002A36B5"/>
    <w:rsid w:val="002A41AA"/>
    <w:rsid w:val="002C1EF0"/>
    <w:rsid w:val="002C38C6"/>
    <w:rsid w:val="002C40AA"/>
    <w:rsid w:val="002D1909"/>
    <w:rsid w:val="002E454A"/>
    <w:rsid w:val="00303F53"/>
    <w:rsid w:val="00311C42"/>
    <w:rsid w:val="00311FCF"/>
    <w:rsid w:val="00316A31"/>
    <w:rsid w:val="00316A9A"/>
    <w:rsid w:val="00320068"/>
    <w:rsid w:val="003211B2"/>
    <w:rsid w:val="00336C16"/>
    <w:rsid w:val="00343C32"/>
    <w:rsid w:val="00346E7C"/>
    <w:rsid w:val="00355107"/>
    <w:rsid w:val="003562B8"/>
    <w:rsid w:val="00357EAD"/>
    <w:rsid w:val="00364F0C"/>
    <w:rsid w:val="00365EBE"/>
    <w:rsid w:val="00373A6F"/>
    <w:rsid w:val="0037490A"/>
    <w:rsid w:val="00375B6E"/>
    <w:rsid w:val="003775A1"/>
    <w:rsid w:val="00382C5F"/>
    <w:rsid w:val="003831AB"/>
    <w:rsid w:val="00384477"/>
    <w:rsid w:val="00385A31"/>
    <w:rsid w:val="00387B68"/>
    <w:rsid w:val="00387E7B"/>
    <w:rsid w:val="003901CC"/>
    <w:rsid w:val="00390B64"/>
    <w:rsid w:val="003927EB"/>
    <w:rsid w:val="00397AF8"/>
    <w:rsid w:val="003A01DE"/>
    <w:rsid w:val="003A435B"/>
    <w:rsid w:val="003A4E9F"/>
    <w:rsid w:val="003A6DD8"/>
    <w:rsid w:val="003A6E55"/>
    <w:rsid w:val="003B0C2C"/>
    <w:rsid w:val="003B2467"/>
    <w:rsid w:val="003B5A09"/>
    <w:rsid w:val="003B65AF"/>
    <w:rsid w:val="003C00CF"/>
    <w:rsid w:val="003C10B0"/>
    <w:rsid w:val="003C732F"/>
    <w:rsid w:val="003D049E"/>
    <w:rsid w:val="003D44C4"/>
    <w:rsid w:val="003E341E"/>
    <w:rsid w:val="003E5830"/>
    <w:rsid w:val="003E78F8"/>
    <w:rsid w:val="00401458"/>
    <w:rsid w:val="004050B2"/>
    <w:rsid w:val="00407C82"/>
    <w:rsid w:val="00411CEA"/>
    <w:rsid w:val="00425A71"/>
    <w:rsid w:val="00425F39"/>
    <w:rsid w:val="004263C0"/>
    <w:rsid w:val="004436C0"/>
    <w:rsid w:val="00445E9A"/>
    <w:rsid w:val="00446DEC"/>
    <w:rsid w:val="00450AC2"/>
    <w:rsid w:val="00450B95"/>
    <w:rsid w:val="0045388F"/>
    <w:rsid w:val="00453ED0"/>
    <w:rsid w:val="004562FF"/>
    <w:rsid w:val="00461265"/>
    <w:rsid w:val="0046310B"/>
    <w:rsid w:val="00463CE0"/>
    <w:rsid w:val="00464786"/>
    <w:rsid w:val="00471650"/>
    <w:rsid w:val="00473C0B"/>
    <w:rsid w:val="004754E3"/>
    <w:rsid w:val="00475825"/>
    <w:rsid w:val="004802E9"/>
    <w:rsid w:val="00483C82"/>
    <w:rsid w:val="00484B04"/>
    <w:rsid w:val="0048652E"/>
    <w:rsid w:val="004874D8"/>
    <w:rsid w:val="00490107"/>
    <w:rsid w:val="004918E8"/>
    <w:rsid w:val="00493E11"/>
    <w:rsid w:val="004A7023"/>
    <w:rsid w:val="004B3B45"/>
    <w:rsid w:val="004B52A8"/>
    <w:rsid w:val="004C67A1"/>
    <w:rsid w:val="004C6B77"/>
    <w:rsid w:val="004D07DE"/>
    <w:rsid w:val="004D2C33"/>
    <w:rsid w:val="004D75FA"/>
    <w:rsid w:val="004E1BE2"/>
    <w:rsid w:val="004E3077"/>
    <w:rsid w:val="004E4584"/>
    <w:rsid w:val="004E5399"/>
    <w:rsid w:val="004F4833"/>
    <w:rsid w:val="00501884"/>
    <w:rsid w:val="005069B2"/>
    <w:rsid w:val="005077BE"/>
    <w:rsid w:val="00513B89"/>
    <w:rsid w:val="00516E46"/>
    <w:rsid w:val="0052545D"/>
    <w:rsid w:val="00525F30"/>
    <w:rsid w:val="005260BB"/>
    <w:rsid w:val="005261CA"/>
    <w:rsid w:val="00533335"/>
    <w:rsid w:val="005427BD"/>
    <w:rsid w:val="0054671A"/>
    <w:rsid w:val="005518F7"/>
    <w:rsid w:val="00561F43"/>
    <w:rsid w:val="0056551F"/>
    <w:rsid w:val="00580806"/>
    <w:rsid w:val="00585883"/>
    <w:rsid w:val="00586854"/>
    <w:rsid w:val="0059037C"/>
    <w:rsid w:val="00591B00"/>
    <w:rsid w:val="00591ECA"/>
    <w:rsid w:val="0059348E"/>
    <w:rsid w:val="005936CC"/>
    <w:rsid w:val="00595816"/>
    <w:rsid w:val="005B7B84"/>
    <w:rsid w:val="005D52E1"/>
    <w:rsid w:val="005E7E91"/>
    <w:rsid w:val="005F2048"/>
    <w:rsid w:val="005F219E"/>
    <w:rsid w:val="005F34DA"/>
    <w:rsid w:val="005F61B9"/>
    <w:rsid w:val="00602AD5"/>
    <w:rsid w:val="00602E07"/>
    <w:rsid w:val="0060406B"/>
    <w:rsid w:val="006061A6"/>
    <w:rsid w:val="00610E0B"/>
    <w:rsid w:val="006113EB"/>
    <w:rsid w:val="00617F66"/>
    <w:rsid w:val="00621DDF"/>
    <w:rsid w:val="00626540"/>
    <w:rsid w:val="00631185"/>
    <w:rsid w:val="00643FD9"/>
    <w:rsid w:val="00644602"/>
    <w:rsid w:val="00650597"/>
    <w:rsid w:val="0065071B"/>
    <w:rsid w:val="00651DB6"/>
    <w:rsid w:val="00657CB1"/>
    <w:rsid w:val="00657E99"/>
    <w:rsid w:val="00664FB5"/>
    <w:rsid w:val="0067211C"/>
    <w:rsid w:val="006726CA"/>
    <w:rsid w:val="00673C26"/>
    <w:rsid w:val="00686426"/>
    <w:rsid w:val="00697FA8"/>
    <w:rsid w:val="006A4525"/>
    <w:rsid w:val="006B7EDE"/>
    <w:rsid w:val="006B7F4B"/>
    <w:rsid w:val="006C4EEE"/>
    <w:rsid w:val="006C58D6"/>
    <w:rsid w:val="006C714E"/>
    <w:rsid w:val="006D5086"/>
    <w:rsid w:val="006D75E9"/>
    <w:rsid w:val="006E2820"/>
    <w:rsid w:val="006E3556"/>
    <w:rsid w:val="006F44D4"/>
    <w:rsid w:val="006F4ED2"/>
    <w:rsid w:val="006F61AC"/>
    <w:rsid w:val="006F67C2"/>
    <w:rsid w:val="006F72D1"/>
    <w:rsid w:val="006F78A8"/>
    <w:rsid w:val="00700999"/>
    <w:rsid w:val="00702195"/>
    <w:rsid w:val="00702363"/>
    <w:rsid w:val="007059E8"/>
    <w:rsid w:val="0070785B"/>
    <w:rsid w:val="00710F60"/>
    <w:rsid w:val="00715D9E"/>
    <w:rsid w:val="00723618"/>
    <w:rsid w:val="00723927"/>
    <w:rsid w:val="00730A37"/>
    <w:rsid w:val="0073231C"/>
    <w:rsid w:val="0073257C"/>
    <w:rsid w:val="00734D09"/>
    <w:rsid w:val="007369F1"/>
    <w:rsid w:val="00743585"/>
    <w:rsid w:val="00747D8B"/>
    <w:rsid w:val="00750F58"/>
    <w:rsid w:val="00751B02"/>
    <w:rsid w:val="00754B10"/>
    <w:rsid w:val="00755B35"/>
    <w:rsid w:val="00757466"/>
    <w:rsid w:val="007613CE"/>
    <w:rsid w:val="00762F73"/>
    <w:rsid w:val="00767FBD"/>
    <w:rsid w:val="00774F90"/>
    <w:rsid w:val="007750FB"/>
    <w:rsid w:val="00775A8B"/>
    <w:rsid w:val="00784677"/>
    <w:rsid w:val="0078762A"/>
    <w:rsid w:val="00794412"/>
    <w:rsid w:val="007A04FA"/>
    <w:rsid w:val="007B5B59"/>
    <w:rsid w:val="007B7103"/>
    <w:rsid w:val="007C7E2D"/>
    <w:rsid w:val="007D492A"/>
    <w:rsid w:val="007E247B"/>
    <w:rsid w:val="007E3993"/>
    <w:rsid w:val="007E39A7"/>
    <w:rsid w:val="007F0CE0"/>
    <w:rsid w:val="007F2C06"/>
    <w:rsid w:val="007F4549"/>
    <w:rsid w:val="007F48D6"/>
    <w:rsid w:val="00800D8F"/>
    <w:rsid w:val="008030B9"/>
    <w:rsid w:val="00803538"/>
    <w:rsid w:val="00815A92"/>
    <w:rsid w:val="00816840"/>
    <w:rsid w:val="00820611"/>
    <w:rsid w:val="0082587D"/>
    <w:rsid w:val="00825D16"/>
    <w:rsid w:val="0082639B"/>
    <w:rsid w:val="00830A50"/>
    <w:rsid w:val="0083459A"/>
    <w:rsid w:val="00843404"/>
    <w:rsid w:val="0084396D"/>
    <w:rsid w:val="00845437"/>
    <w:rsid w:val="00846811"/>
    <w:rsid w:val="0085187C"/>
    <w:rsid w:val="008540E7"/>
    <w:rsid w:val="00855086"/>
    <w:rsid w:val="00866C06"/>
    <w:rsid w:val="00872E2A"/>
    <w:rsid w:val="0087490D"/>
    <w:rsid w:val="00875925"/>
    <w:rsid w:val="0088072C"/>
    <w:rsid w:val="008815FA"/>
    <w:rsid w:val="00890752"/>
    <w:rsid w:val="008A16A8"/>
    <w:rsid w:val="008A21FD"/>
    <w:rsid w:val="008A5230"/>
    <w:rsid w:val="008B3C60"/>
    <w:rsid w:val="008B448D"/>
    <w:rsid w:val="008B6ED0"/>
    <w:rsid w:val="008C7471"/>
    <w:rsid w:val="008E013E"/>
    <w:rsid w:val="008E2963"/>
    <w:rsid w:val="008E505A"/>
    <w:rsid w:val="008E7DE9"/>
    <w:rsid w:val="00904AFB"/>
    <w:rsid w:val="00911728"/>
    <w:rsid w:val="00914D53"/>
    <w:rsid w:val="00916789"/>
    <w:rsid w:val="00917EB6"/>
    <w:rsid w:val="00920EC1"/>
    <w:rsid w:val="009262B7"/>
    <w:rsid w:val="009268A3"/>
    <w:rsid w:val="00931D67"/>
    <w:rsid w:val="00931DA4"/>
    <w:rsid w:val="009348F5"/>
    <w:rsid w:val="00937EAC"/>
    <w:rsid w:val="0094139F"/>
    <w:rsid w:val="00941730"/>
    <w:rsid w:val="009421DA"/>
    <w:rsid w:val="00943448"/>
    <w:rsid w:val="0094542A"/>
    <w:rsid w:val="00946B6D"/>
    <w:rsid w:val="00950F7E"/>
    <w:rsid w:val="00957841"/>
    <w:rsid w:val="00967803"/>
    <w:rsid w:val="00967EF2"/>
    <w:rsid w:val="009708B0"/>
    <w:rsid w:val="00973141"/>
    <w:rsid w:val="00977178"/>
    <w:rsid w:val="009A1EE4"/>
    <w:rsid w:val="009A2E79"/>
    <w:rsid w:val="009B1022"/>
    <w:rsid w:val="009B369B"/>
    <w:rsid w:val="009B7911"/>
    <w:rsid w:val="009C168A"/>
    <w:rsid w:val="009C1FD9"/>
    <w:rsid w:val="009C2733"/>
    <w:rsid w:val="009C3BC7"/>
    <w:rsid w:val="009C4BCF"/>
    <w:rsid w:val="009C63D8"/>
    <w:rsid w:val="009C7528"/>
    <w:rsid w:val="009D3CF2"/>
    <w:rsid w:val="009D75DE"/>
    <w:rsid w:val="009E1CB9"/>
    <w:rsid w:val="009E3B79"/>
    <w:rsid w:val="009E5C1C"/>
    <w:rsid w:val="009E7A8B"/>
    <w:rsid w:val="009E7B55"/>
    <w:rsid w:val="009F5A3F"/>
    <w:rsid w:val="009F6460"/>
    <w:rsid w:val="00A0381D"/>
    <w:rsid w:val="00A05530"/>
    <w:rsid w:val="00A112D4"/>
    <w:rsid w:val="00A11DC2"/>
    <w:rsid w:val="00A22275"/>
    <w:rsid w:val="00A2320F"/>
    <w:rsid w:val="00A236AF"/>
    <w:rsid w:val="00A26FD3"/>
    <w:rsid w:val="00A311FE"/>
    <w:rsid w:val="00A363CB"/>
    <w:rsid w:val="00A402B8"/>
    <w:rsid w:val="00A40703"/>
    <w:rsid w:val="00A4170E"/>
    <w:rsid w:val="00A450CA"/>
    <w:rsid w:val="00A50546"/>
    <w:rsid w:val="00A621B5"/>
    <w:rsid w:val="00A71198"/>
    <w:rsid w:val="00A71529"/>
    <w:rsid w:val="00A71F77"/>
    <w:rsid w:val="00A720C1"/>
    <w:rsid w:val="00A72F71"/>
    <w:rsid w:val="00A75603"/>
    <w:rsid w:val="00A83384"/>
    <w:rsid w:val="00A836B3"/>
    <w:rsid w:val="00A85462"/>
    <w:rsid w:val="00A97E8F"/>
    <w:rsid w:val="00AA2D50"/>
    <w:rsid w:val="00AA54D7"/>
    <w:rsid w:val="00AB469C"/>
    <w:rsid w:val="00AC6FC1"/>
    <w:rsid w:val="00AC71A9"/>
    <w:rsid w:val="00AC79AC"/>
    <w:rsid w:val="00AD71D0"/>
    <w:rsid w:val="00AE0449"/>
    <w:rsid w:val="00AE3260"/>
    <w:rsid w:val="00AF7311"/>
    <w:rsid w:val="00B049AB"/>
    <w:rsid w:val="00B121DF"/>
    <w:rsid w:val="00B130C6"/>
    <w:rsid w:val="00B1541D"/>
    <w:rsid w:val="00B15F80"/>
    <w:rsid w:val="00B167ED"/>
    <w:rsid w:val="00B1729D"/>
    <w:rsid w:val="00B262A0"/>
    <w:rsid w:val="00B31DA1"/>
    <w:rsid w:val="00B40B30"/>
    <w:rsid w:val="00B53407"/>
    <w:rsid w:val="00B6343A"/>
    <w:rsid w:val="00B6371D"/>
    <w:rsid w:val="00B65F61"/>
    <w:rsid w:val="00B67C31"/>
    <w:rsid w:val="00B9205C"/>
    <w:rsid w:val="00B96F3B"/>
    <w:rsid w:val="00BA16F5"/>
    <w:rsid w:val="00BA4728"/>
    <w:rsid w:val="00BA4F23"/>
    <w:rsid w:val="00BA5155"/>
    <w:rsid w:val="00BA70A4"/>
    <w:rsid w:val="00BA7467"/>
    <w:rsid w:val="00BB332C"/>
    <w:rsid w:val="00BB79FB"/>
    <w:rsid w:val="00BC05D5"/>
    <w:rsid w:val="00BC56BC"/>
    <w:rsid w:val="00BD0BE0"/>
    <w:rsid w:val="00BD3790"/>
    <w:rsid w:val="00BD3F1F"/>
    <w:rsid w:val="00BD730D"/>
    <w:rsid w:val="00BD7919"/>
    <w:rsid w:val="00BE0B06"/>
    <w:rsid w:val="00BE1EA7"/>
    <w:rsid w:val="00BE3815"/>
    <w:rsid w:val="00BE3D19"/>
    <w:rsid w:val="00BE440A"/>
    <w:rsid w:val="00BF0C9F"/>
    <w:rsid w:val="00BF22E3"/>
    <w:rsid w:val="00BF5852"/>
    <w:rsid w:val="00BF6B40"/>
    <w:rsid w:val="00C0385B"/>
    <w:rsid w:val="00C03ED4"/>
    <w:rsid w:val="00C05FCA"/>
    <w:rsid w:val="00C106C5"/>
    <w:rsid w:val="00C133F8"/>
    <w:rsid w:val="00C13BB8"/>
    <w:rsid w:val="00C17051"/>
    <w:rsid w:val="00C300B7"/>
    <w:rsid w:val="00C4247C"/>
    <w:rsid w:val="00C453A6"/>
    <w:rsid w:val="00C5347B"/>
    <w:rsid w:val="00C65BB6"/>
    <w:rsid w:val="00C71660"/>
    <w:rsid w:val="00C73B2A"/>
    <w:rsid w:val="00C73DD8"/>
    <w:rsid w:val="00C75927"/>
    <w:rsid w:val="00C76139"/>
    <w:rsid w:val="00C8145A"/>
    <w:rsid w:val="00C8221C"/>
    <w:rsid w:val="00C82243"/>
    <w:rsid w:val="00C902AD"/>
    <w:rsid w:val="00C906D4"/>
    <w:rsid w:val="00C9532B"/>
    <w:rsid w:val="00CA40F4"/>
    <w:rsid w:val="00CA615B"/>
    <w:rsid w:val="00CA7FCF"/>
    <w:rsid w:val="00CB0B6D"/>
    <w:rsid w:val="00CC10B1"/>
    <w:rsid w:val="00CC11C0"/>
    <w:rsid w:val="00CC7D67"/>
    <w:rsid w:val="00CD11E9"/>
    <w:rsid w:val="00CD2E41"/>
    <w:rsid w:val="00CD54C7"/>
    <w:rsid w:val="00CE0753"/>
    <w:rsid w:val="00CE4DB1"/>
    <w:rsid w:val="00CF0663"/>
    <w:rsid w:val="00CF4818"/>
    <w:rsid w:val="00CF6CF2"/>
    <w:rsid w:val="00CF726F"/>
    <w:rsid w:val="00D002C2"/>
    <w:rsid w:val="00D118BD"/>
    <w:rsid w:val="00D16AE6"/>
    <w:rsid w:val="00D22493"/>
    <w:rsid w:val="00D23723"/>
    <w:rsid w:val="00D255B8"/>
    <w:rsid w:val="00D2788F"/>
    <w:rsid w:val="00D360AD"/>
    <w:rsid w:val="00D37BFC"/>
    <w:rsid w:val="00D476B2"/>
    <w:rsid w:val="00D55609"/>
    <w:rsid w:val="00D572C7"/>
    <w:rsid w:val="00D63FC1"/>
    <w:rsid w:val="00D65E56"/>
    <w:rsid w:val="00D66BFC"/>
    <w:rsid w:val="00D70897"/>
    <w:rsid w:val="00D70EB6"/>
    <w:rsid w:val="00D75066"/>
    <w:rsid w:val="00D773D8"/>
    <w:rsid w:val="00D81AB3"/>
    <w:rsid w:val="00D83860"/>
    <w:rsid w:val="00D84BCD"/>
    <w:rsid w:val="00D86482"/>
    <w:rsid w:val="00D86896"/>
    <w:rsid w:val="00D96F39"/>
    <w:rsid w:val="00D971C3"/>
    <w:rsid w:val="00DA1823"/>
    <w:rsid w:val="00DB464F"/>
    <w:rsid w:val="00DB65E3"/>
    <w:rsid w:val="00DD15C3"/>
    <w:rsid w:val="00DD27D6"/>
    <w:rsid w:val="00DD2A49"/>
    <w:rsid w:val="00DE0B75"/>
    <w:rsid w:val="00DE21DE"/>
    <w:rsid w:val="00DE589E"/>
    <w:rsid w:val="00DE7DBE"/>
    <w:rsid w:val="00DF557E"/>
    <w:rsid w:val="00DF765D"/>
    <w:rsid w:val="00E0006B"/>
    <w:rsid w:val="00E009A3"/>
    <w:rsid w:val="00E0129B"/>
    <w:rsid w:val="00E01CC3"/>
    <w:rsid w:val="00E020E5"/>
    <w:rsid w:val="00E04F39"/>
    <w:rsid w:val="00E10AF1"/>
    <w:rsid w:val="00E15AC0"/>
    <w:rsid w:val="00E23157"/>
    <w:rsid w:val="00E23DD0"/>
    <w:rsid w:val="00E2490D"/>
    <w:rsid w:val="00E25C63"/>
    <w:rsid w:val="00E306C0"/>
    <w:rsid w:val="00E444C5"/>
    <w:rsid w:val="00E4725E"/>
    <w:rsid w:val="00E50F1C"/>
    <w:rsid w:val="00E54108"/>
    <w:rsid w:val="00E55E05"/>
    <w:rsid w:val="00E57C6C"/>
    <w:rsid w:val="00E57FB2"/>
    <w:rsid w:val="00E639A3"/>
    <w:rsid w:val="00E63D83"/>
    <w:rsid w:val="00E66C6D"/>
    <w:rsid w:val="00E73D8A"/>
    <w:rsid w:val="00E754C0"/>
    <w:rsid w:val="00E8515E"/>
    <w:rsid w:val="00E87C29"/>
    <w:rsid w:val="00E87D36"/>
    <w:rsid w:val="00E9012E"/>
    <w:rsid w:val="00E9167C"/>
    <w:rsid w:val="00E960F7"/>
    <w:rsid w:val="00EA0117"/>
    <w:rsid w:val="00EA2728"/>
    <w:rsid w:val="00EA314E"/>
    <w:rsid w:val="00EA37D6"/>
    <w:rsid w:val="00EA4127"/>
    <w:rsid w:val="00EC076C"/>
    <w:rsid w:val="00EC0BC1"/>
    <w:rsid w:val="00EC1093"/>
    <w:rsid w:val="00ED6ED9"/>
    <w:rsid w:val="00EF0551"/>
    <w:rsid w:val="00EF2D56"/>
    <w:rsid w:val="00F03FFD"/>
    <w:rsid w:val="00F04B39"/>
    <w:rsid w:val="00F05C29"/>
    <w:rsid w:val="00F07DF4"/>
    <w:rsid w:val="00F17618"/>
    <w:rsid w:val="00F20CB2"/>
    <w:rsid w:val="00F222AA"/>
    <w:rsid w:val="00F2685C"/>
    <w:rsid w:val="00F318A8"/>
    <w:rsid w:val="00F3504E"/>
    <w:rsid w:val="00F37327"/>
    <w:rsid w:val="00F40FAA"/>
    <w:rsid w:val="00F460C2"/>
    <w:rsid w:val="00F51131"/>
    <w:rsid w:val="00F51C98"/>
    <w:rsid w:val="00F60852"/>
    <w:rsid w:val="00F62717"/>
    <w:rsid w:val="00F63D1B"/>
    <w:rsid w:val="00F81577"/>
    <w:rsid w:val="00F83077"/>
    <w:rsid w:val="00F86870"/>
    <w:rsid w:val="00F876EF"/>
    <w:rsid w:val="00F87FB2"/>
    <w:rsid w:val="00F87FFA"/>
    <w:rsid w:val="00F92B8F"/>
    <w:rsid w:val="00F9334A"/>
    <w:rsid w:val="00FA2847"/>
    <w:rsid w:val="00FA34A9"/>
    <w:rsid w:val="00FB0617"/>
    <w:rsid w:val="00FB0EF3"/>
    <w:rsid w:val="00FB444C"/>
    <w:rsid w:val="00FB49F9"/>
    <w:rsid w:val="00FC03A6"/>
    <w:rsid w:val="00FC05CB"/>
    <w:rsid w:val="00FC07D8"/>
    <w:rsid w:val="00FC2235"/>
    <w:rsid w:val="00FC5801"/>
    <w:rsid w:val="00FD0BDA"/>
    <w:rsid w:val="00FD3025"/>
    <w:rsid w:val="00FD42C0"/>
    <w:rsid w:val="00FD52B5"/>
    <w:rsid w:val="00FD5427"/>
    <w:rsid w:val="00FE04C9"/>
    <w:rsid w:val="00FE2493"/>
    <w:rsid w:val="00FF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C625208"/>
  <w15:chartTrackingRefBased/>
  <w15:docId w15:val="{5B5C749B-381C-4F7F-BA77-7191778F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2820"/>
    <w:pPr>
      <w:widowControl w:val="0"/>
      <w:spacing w:after="24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1B546C"/>
    <w:pPr>
      <w:keepNext/>
      <w:keepLines/>
      <w:pBdr>
        <w:bottom w:val="double" w:sz="4" w:space="1" w:color="auto"/>
      </w:pBdr>
      <w:spacing w:before="480"/>
      <w:outlineLvl w:val="0"/>
    </w:pPr>
    <w:rPr>
      <w:b/>
      <w:smallCaps/>
      <w:spacing w:val="20"/>
      <w:sz w:val="32"/>
      <w:szCs w:val="28"/>
    </w:rPr>
  </w:style>
  <w:style w:type="paragraph" w:styleId="Heading2">
    <w:name w:val="heading 2"/>
    <w:basedOn w:val="Normal"/>
    <w:next w:val="Normal"/>
    <w:link w:val="Heading2Char"/>
    <w:uiPriority w:val="9"/>
    <w:unhideWhenUsed/>
    <w:qFormat/>
    <w:rsid w:val="00017521"/>
    <w:pPr>
      <w:keepNext/>
      <w:keepLines/>
      <w:spacing w:before="360"/>
      <w:outlineLvl w:val="1"/>
    </w:pPr>
    <w:rPr>
      <w:smallCaps/>
      <w:u w:val="double"/>
    </w:rPr>
  </w:style>
  <w:style w:type="paragraph" w:styleId="Heading3">
    <w:name w:val="heading 3"/>
    <w:basedOn w:val="Normal"/>
    <w:next w:val="Normal"/>
    <w:link w:val="Heading3Char"/>
    <w:uiPriority w:val="9"/>
    <w:unhideWhenUsed/>
    <w:qFormat/>
    <w:rsid w:val="00B130C6"/>
    <w:pPr>
      <w:keepNext/>
      <w:keepLines/>
      <w:spacing w:before="240" w:after="120"/>
      <w:outlineLvl w:val="2"/>
    </w:pPr>
    <w:rPr>
      <w:small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7051"/>
    <w:rPr>
      <w:color w:val="0563C1" w:themeColor="hyperlink"/>
      <w:u w:val="single"/>
    </w:rPr>
  </w:style>
  <w:style w:type="character" w:styleId="UnresolvedMention">
    <w:name w:val="Unresolved Mention"/>
    <w:basedOn w:val="DefaultParagraphFont"/>
    <w:uiPriority w:val="99"/>
    <w:semiHidden/>
    <w:unhideWhenUsed/>
    <w:rsid w:val="00C17051"/>
    <w:rPr>
      <w:color w:val="605E5C"/>
      <w:shd w:val="clear" w:color="auto" w:fill="E1DFDD"/>
    </w:rPr>
  </w:style>
  <w:style w:type="character" w:customStyle="1" w:styleId="Heading1Char">
    <w:name w:val="Heading 1 Char"/>
    <w:basedOn w:val="DefaultParagraphFont"/>
    <w:link w:val="Heading1"/>
    <w:uiPriority w:val="9"/>
    <w:rsid w:val="001B546C"/>
    <w:rPr>
      <w:rFonts w:ascii="Times New Roman" w:hAnsi="Times New Roman"/>
      <w:b/>
      <w:smallCaps/>
      <w:spacing w:val="20"/>
      <w:sz w:val="32"/>
      <w:szCs w:val="28"/>
    </w:rPr>
  </w:style>
  <w:style w:type="paragraph" w:styleId="TOCHeading">
    <w:name w:val="TOC Heading"/>
    <w:basedOn w:val="Heading1"/>
    <w:next w:val="Normal"/>
    <w:uiPriority w:val="39"/>
    <w:unhideWhenUsed/>
    <w:qFormat/>
    <w:rsid w:val="006B7EDE"/>
    <w:pPr>
      <w:widowControl/>
      <w:spacing w:after="0" w:line="259" w:lineRule="auto"/>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FD52B5"/>
    <w:pPr>
      <w:tabs>
        <w:tab w:val="right" w:leader="dot" w:pos="9350"/>
      </w:tabs>
      <w:spacing w:after="100"/>
    </w:pPr>
  </w:style>
  <w:style w:type="paragraph" w:styleId="Header">
    <w:name w:val="header"/>
    <w:basedOn w:val="Normal"/>
    <w:link w:val="HeaderChar"/>
    <w:uiPriority w:val="99"/>
    <w:unhideWhenUsed/>
    <w:rsid w:val="00BA16F5"/>
    <w:pPr>
      <w:tabs>
        <w:tab w:val="center" w:pos="4680"/>
        <w:tab w:val="right" w:pos="9360"/>
      </w:tabs>
    </w:pPr>
  </w:style>
  <w:style w:type="character" w:customStyle="1" w:styleId="HeaderChar">
    <w:name w:val="Header Char"/>
    <w:basedOn w:val="DefaultParagraphFont"/>
    <w:link w:val="Header"/>
    <w:uiPriority w:val="99"/>
    <w:rsid w:val="00BA16F5"/>
    <w:rPr>
      <w:rFonts w:ascii="Times New Roman" w:hAnsi="Times New Roman"/>
      <w:sz w:val="24"/>
    </w:rPr>
  </w:style>
  <w:style w:type="paragraph" w:styleId="Footer">
    <w:name w:val="footer"/>
    <w:basedOn w:val="Normal"/>
    <w:link w:val="FooterChar"/>
    <w:uiPriority w:val="99"/>
    <w:unhideWhenUsed/>
    <w:rsid w:val="00BA16F5"/>
    <w:pPr>
      <w:tabs>
        <w:tab w:val="center" w:pos="4680"/>
        <w:tab w:val="right" w:pos="9360"/>
      </w:tabs>
    </w:pPr>
  </w:style>
  <w:style w:type="character" w:customStyle="1" w:styleId="FooterChar">
    <w:name w:val="Footer Char"/>
    <w:basedOn w:val="DefaultParagraphFont"/>
    <w:link w:val="Footer"/>
    <w:uiPriority w:val="99"/>
    <w:rsid w:val="00BA16F5"/>
    <w:rPr>
      <w:rFonts w:ascii="Times New Roman" w:hAnsi="Times New Roman"/>
      <w:sz w:val="24"/>
    </w:rPr>
  </w:style>
  <w:style w:type="character" w:customStyle="1" w:styleId="Heading2Char">
    <w:name w:val="Heading 2 Char"/>
    <w:basedOn w:val="DefaultParagraphFont"/>
    <w:link w:val="Heading2"/>
    <w:uiPriority w:val="9"/>
    <w:rsid w:val="00017521"/>
    <w:rPr>
      <w:rFonts w:ascii="Times New Roman" w:hAnsi="Times New Roman"/>
      <w:smallCaps/>
      <w:sz w:val="24"/>
      <w:szCs w:val="24"/>
      <w:u w:val="double"/>
    </w:rPr>
  </w:style>
  <w:style w:type="paragraph" w:styleId="FootnoteText">
    <w:name w:val="footnote text"/>
    <w:basedOn w:val="Normal"/>
    <w:link w:val="FootnoteTextChar"/>
    <w:uiPriority w:val="99"/>
    <w:unhideWhenUsed/>
    <w:rsid w:val="005260BB"/>
    <w:pPr>
      <w:keepLines/>
      <w:spacing w:after="120"/>
    </w:pPr>
    <w:rPr>
      <w:sz w:val="20"/>
      <w:szCs w:val="20"/>
    </w:rPr>
  </w:style>
  <w:style w:type="character" w:customStyle="1" w:styleId="FootnoteTextChar">
    <w:name w:val="Footnote Text Char"/>
    <w:basedOn w:val="DefaultParagraphFont"/>
    <w:link w:val="FootnoteText"/>
    <w:uiPriority w:val="99"/>
    <w:rsid w:val="005260BB"/>
    <w:rPr>
      <w:rFonts w:ascii="Times New Roman" w:hAnsi="Times New Roman"/>
      <w:sz w:val="20"/>
      <w:szCs w:val="20"/>
    </w:rPr>
  </w:style>
  <w:style w:type="character" w:styleId="FootnoteReference">
    <w:name w:val="footnote reference"/>
    <w:basedOn w:val="DefaultParagraphFont"/>
    <w:uiPriority w:val="99"/>
    <w:semiHidden/>
    <w:unhideWhenUsed/>
    <w:rsid w:val="00846811"/>
    <w:rPr>
      <w:vertAlign w:val="superscript"/>
    </w:rPr>
  </w:style>
  <w:style w:type="paragraph" w:styleId="TOC2">
    <w:name w:val="toc 2"/>
    <w:basedOn w:val="Normal"/>
    <w:next w:val="Normal"/>
    <w:autoRedefine/>
    <w:uiPriority w:val="39"/>
    <w:unhideWhenUsed/>
    <w:rsid w:val="0007757B"/>
    <w:pPr>
      <w:spacing w:after="100"/>
      <w:ind w:left="240"/>
    </w:pPr>
  </w:style>
  <w:style w:type="character" w:styleId="CommentReference">
    <w:name w:val="annotation reference"/>
    <w:basedOn w:val="DefaultParagraphFont"/>
    <w:uiPriority w:val="99"/>
    <w:semiHidden/>
    <w:unhideWhenUsed/>
    <w:rsid w:val="00BF0C9F"/>
    <w:rPr>
      <w:sz w:val="16"/>
      <w:szCs w:val="16"/>
    </w:rPr>
  </w:style>
  <w:style w:type="paragraph" w:styleId="CommentText">
    <w:name w:val="annotation text"/>
    <w:basedOn w:val="Normal"/>
    <w:link w:val="CommentTextChar"/>
    <w:uiPriority w:val="99"/>
    <w:semiHidden/>
    <w:unhideWhenUsed/>
    <w:rsid w:val="00BF0C9F"/>
    <w:rPr>
      <w:sz w:val="20"/>
      <w:szCs w:val="20"/>
    </w:rPr>
  </w:style>
  <w:style w:type="character" w:customStyle="1" w:styleId="CommentTextChar">
    <w:name w:val="Comment Text Char"/>
    <w:basedOn w:val="DefaultParagraphFont"/>
    <w:link w:val="CommentText"/>
    <w:uiPriority w:val="99"/>
    <w:semiHidden/>
    <w:rsid w:val="00BF0C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F0C9F"/>
    <w:rPr>
      <w:b/>
      <w:bCs/>
    </w:rPr>
  </w:style>
  <w:style w:type="character" w:customStyle="1" w:styleId="CommentSubjectChar">
    <w:name w:val="Comment Subject Char"/>
    <w:basedOn w:val="CommentTextChar"/>
    <w:link w:val="CommentSubject"/>
    <w:uiPriority w:val="99"/>
    <w:semiHidden/>
    <w:rsid w:val="00BF0C9F"/>
    <w:rPr>
      <w:rFonts w:ascii="Times New Roman" w:hAnsi="Times New Roman"/>
      <w:b/>
      <w:bCs/>
      <w:sz w:val="20"/>
      <w:szCs w:val="20"/>
    </w:rPr>
  </w:style>
  <w:style w:type="paragraph" w:styleId="BalloonText">
    <w:name w:val="Balloon Text"/>
    <w:basedOn w:val="Normal"/>
    <w:link w:val="BalloonTextChar"/>
    <w:uiPriority w:val="99"/>
    <w:semiHidden/>
    <w:unhideWhenUsed/>
    <w:rsid w:val="00BF0C9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C9F"/>
    <w:rPr>
      <w:rFonts w:ascii="Segoe UI" w:hAnsi="Segoe UI" w:cs="Segoe UI"/>
      <w:sz w:val="18"/>
      <w:szCs w:val="18"/>
    </w:rPr>
  </w:style>
  <w:style w:type="character" w:customStyle="1" w:styleId="ui-provider">
    <w:name w:val="ui-provider"/>
    <w:basedOn w:val="DefaultParagraphFont"/>
    <w:rsid w:val="00DA1823"/>
  </w:style>
  <w:style w:type="paragraph" w:styleId="ListParagraph">
    <w:name w:val="List Paragraph"/>
    <w:basedOn w:val="Normal"/>
    <w:uiPriority w:val="34"/>
    <w:qFormat/>
    <w:rsid w:val="00493E11"/>
    <w:pPr>
      <w:ind w:left="720"/>
      <w:contextualSpacing/>
    </w:pPr>
  </w:style>
  <w:style w:type="paragraph" w:customStyle="1" w:styleId="ChartCaption">
    <w:name w:val="Chart Caption"/>
    <w:basedOn w:val="Normal"/>
    <w:rsid w:val="006F78A8"/>
    <w:pPr>
      <w:jc w:val="center"/>
    </w:pPr>
    <w:rPr>
      <w:color w:val="4472C4" w:themeColor="accent1"/>
    </w:rPr>
  </w:style>
  <w:style w:type="paragraph" w:styleId="Caption">
    <w:name w:val="caption"/>
    <w:basedOn w:val="Normal"/>
    <w:next w:val="Normal"/>
    <w:uiPriority w:val="35"/>
    <w:unhideWhenUsed/>
    <w:qFormat/>
    <w:rsid w:val="00643FD9"/>
    <w:pPr>
      <w:spacing w:after="480"/>
    </w:pPr>
    <w:rPr>
      <w:i/>
      <w:iCs/>
      <w:color w:val="4472C4" w:themeColor="accent1"/>
      <w:sz w:val="22"/>
      <w:szCs w:val="18"/>
    </w:rPr>
  </w:style>
  <w:style w:type="character" w:customStyle="1" w:styleId="Heading3Char">
    <w:name w:val="Heading 3 Char"/>
    <w:basedOn w:val="DefaultParagraphFont"/>
    <w:link w:val="Heading3"/>
    <w:uiPriority w:val="9"/>
    <w:rsid w:val="00B130C6"/>
    <w:rPr>
      <w:rFonts w:ascii="Times New Roman" w:hAnsi="Times New Roman"/>
      <w:smallCaps/>
      <w:sz w:val="24"/>
      <w:szCs w:val="24"/>
      <w:u w:val="single"/>
    </w:rPr>
  </w:style>
  <w:style w:type="character" w:styleId="FollowedHyperlink">
    <w:name w:val="FollowedHyperlink"/>
    <w:basedOn w:val="DefaultParagraphFont"/>
    <w:uiPriority w:val="99"/>
    <w:semiHidden/>
    <w:unhideWhenUsed/>
    <w:rsid w:val="00E8515E"/>
    <w:rPr>
      <w:color w:val="954F72" w:themeColor="followedHyperlink"/>
      <w:u w:val="single"/>
    </w:rPr>
  </w:style>
  <w:style w:type="table" w:styleId="TableGrid">
    <w:name w:val="Table Grid"/>
    <w:basedOn w:val="TableNormal"/>
    <w:uiPriority w:val="39"/>
    <w:rsid w:val="00890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54F27"/>
    <w:pPr>
      <w:spacing w:after="100"/>
      <w:ind w:left="480"/>
    </w:pPr>
  </w:style>
  <w:style w:type="paragraph" w:styleId="Revision">
    <w:name w:val="Revision"/>
    <w:hidden/>
    <w:uiPriority w:val="99"/>
    <w:semiHidden/>
    <w:rsid w:val="00BC56BC"/>
    <w:p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5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eprobate.net"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vocate@drme.org"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maineprobate.net"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20" Type="http://schemas.openxmlformats.org/officeDocument/2006/relationships/chart" Target="charts/chart8.xml"/><Relationship Id="rId41" Type="http://schemas.openxmlformats.org/officeDocument/2006/relationships/chart" Target="charts/chart29.xml"/></Relationships>
</file>

<file path=word/_rels/footnotes.xml.rels><?xml version="1.0" encoding="UTF-8" standalone="yes"?>
<Relationships xmlns="http://schemas.openxmlformats.org/package/2006/relationships"><Relationship Id="rId3" Type="http://schemas.openxmlformats.org/officeDocument/2006/relationships/hyperlink" Target="https://www.maine.gov/tools/whatsnew/index.php?topic=DHHS-OES-Updates&amp;id=1614698&amp;v=details-2020" TargetMode="External"/><Relationship Id="rId2" Type="http://schemas.openxmlformats.org/officeDocument/2006/relationships/hyperlink" Target="https://legacy.nationalcoreindicators.org/&#8204;upload/core-indicators/ME_IPS_state_508.pdf" TargetMode="External"/><Relationship Id="rId1" Type="http://schemas.openxmlformats.org/officeDocument/2006/relationships/hyperlink" Target="https://www.uniformlaws.org/committees/community-home?communitykey=2eba8654-8871-4905-ad38-aabbd573911c" TargetMode="External"/><Relationship Id="rId4" Type="http://schemas.openxmlformats.org/officeDocument/2006/relationships/hyperlink" Target="https://www.ncd.gov/report/turning-rights-into-reality-how-guardianship-and-alternatives-impact-the-autonomy-of-people-with-intellectual-and-developmental-disabilities-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rm-fs2\data\DSA%20Advocacy\Guardianship%20Reform\Guardianship%20Data%202019%20COMPLE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Representation</a:t>
            </a:r>
            <a:r>
              <a:rPr lang="en-US" sz="1400" b="1" baseline="0">
                <a:latin typeface="Times New Roman" panose="02020603050405020304" pitchFamily="18" charset="0"/>
                <a:cs typeface="Times New Roman" panose="02020603050405020304" pitchFamily="18" charset="0"/>
              </a:rPr>
              <a:t> of All Respondents - 2019</a:t>
            </a:r>
            <a:endParaRPr lang="en-US" sz="14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0CB-463F-BE87-E6130EE191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CB-463F-BE87-E6130EE19170}"/>
              </c:ext>
            </c:extLst>
          </c:dPt>
          <c:dLbls>
            <c:dLbl>
              <c:idx val="0"/>
              <c:layout>
                <c:manualLayout>
                  <c:x val="-0.26763291607779799"/>
                  <c:y val="-0.18449095517472089"/>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Unrepresented</a:t>
                    </a:r>
                    <a:r>
                      <a:rPr lang="en-US" baseline="0"/>
                      <a:t>
</a:t>
                    </a:r>
                    <a:fld id="{28860B63-6117-4C31-9637-53D3DA91B814}" type="PERCENTAGE">
                      <a:rPr lang="en-US" baseline="0"/>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3329059829059826"/>
                      <c:h val="0.15318627450980393"/>
                    </c:manualLayout>
                  </c15:layout>
                  <c15:dlblFieldTable/>
                  <c15:showDataLabelsRange val="0"/>
                </c:ext>
                <c:ext xmlns:c16="http://schemas.microsoft.com/office/drawing/2014/chart" uri="{C3380CC4-5D6E-409C-BE32-E72D297353CC}">
                  <c16:uniqueId val="{00000002-90CB-463F-BE87-E6130EE19170}"/>
                </c:ext>
              </c:extLst>
            </c:dLbl>
            <c:dLbl>
              <c:idx val="1"/>
              <c:layout>
                <c:manualLayout>
                  <c:x val="0.21120129214617403"/>
                  <c:y val="0.20512856389274869"/>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4AE624E9-93CD-4F17-93FF-9A14260AB21B}" type="PERCENTAGE">
                      <a:rPr lang="en-US" baseline="0"/>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5995659196446597"/>
                      <c:h val="0.13176624980700941"/>
                    </c:manualLayout>
                  </c15:layout>
                  <c15:dlblFieldTable/>
                  <c15:showDataLabelsRange val="0"/>
                </c:ext>
                <c:ext xmlns:c16="http://schemas.microsoft.com/office/drawing/2014/chart" uri="{C3380CC4-5D6E-409C-BE32-E72D297353CC}">
                  <c16:uniqueId val="{00000001-90CB-463F-BE87-E6130EE19170}"/>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0.78090000000000004</c:v>
                </c:pt>
                <c:pt idx="1">
                  <c:v>0.21909999999999999</c:v>
                </c:pt>
              </c:numCache>
            </c:numRef>
          </c:val>
          <c:extLst>
            <c:ext xmlns:c16="http://schemas.microsoft.com/office/drawing/2014/chart" uri="{C3380CC4-5D6E-409C-BE32-E72D297353CC}">
              <c16:uniqueId val="{00000000-90CB-463F-BE87-E6130EE19170}"/>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aseline="0">
                <a:latin typeface="Times New Roman" panose="02020603050405020304" pitchFamily="18" charset="0"/>
                <a:cs typeface="Times New Roman" panose="02020603050405020304" pitchFamily="18" charset="0"/>
              </a:rPr>
              <a:t>Respondents w/ DD - 2020</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4001615182717545E-2"/>
          <c:y val="0.140625"/>
          <c:w val="0.86635574399353932"/>
          <c:h val="0.70391404199475061"/>
        </c:manualLayout>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95-42B4-90A5-F9E2DFA9FA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95-42B4-90A5-F9E2DFA9FA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495-42B4-90A5-F9E2DFA9FA5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495-42B4-90A5-F9E2DFA9FA5A}"/>
              </c:ext>
            </c:extLst>
          </c:dPt>
          <c:dLbls>
            <c:dLbl>
              <c:idx val="0"/>
              <c:tx>
                <c:rich>
                  <a:bodyPr/>
                  <a:lstStyle/>
                  <a:p>
                    <a:fld id="{AA88594A-A97F-4BCE-A5F3-467E1C88330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495-42B4-90A5-F9E2DFA9FA5A}"/>
                </c:ext>
              </c:extLst>
            </c:dLbl>
            <c:dLbl>
              <c:idx val="1"/>
              <c:layout>
                <c:manualLayout>
                  <c:x val="-0.12942560064607309"/>
                  <c:y val="6.6852580927384039E-2"/>
                </c:manualLayout>
              </c:layout>
              <c:tx>
                <c:rich>
                  <a:bodyPr/>
                  <a:lstStyle/>
                  <a:p>
                    <a:fld id="{FA844F9B-95F3-485D-BEC5-3FD418A50186}"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495-42B4-90A5-F9E2DFA9FA5A}"/>
                </c:ext>
              </c:extLst>
            </c:dLbl>
            <c:dLbl>
              <c:idx val="2"/>
              <c:layout>
                <c:manualLayout>
                  <c:x val="-0.17354398007941316"/>
                  <c:y val="2.5166502624671915E-2"/>
                </c:manualLayout>
              </c:layout>
              <c:tx>
                <c:rich>
                  <a:bodyPr/>
                  <a:lstStyle/>
                  <a:p>
                    <a:fld id="{E1BB4899-D9AF-428A-8474-B0BFF106ADD0}"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495-42B4-90A5-F9E2DFA9FA5A}"/>
                </c:ext>
              </c:extLst>
            </c:dLbl>
            <c:dLbl>
              <c:idx val="3"/>
              <c:layout>
                <c:manualLayout>
                  <c:x val="0.2147826233259304"/>
                  <c:y val="2.7796642607174089E-2"/>
                </c:manualLayout>
              </c:layout>
              <c:tx>
                <c:rich>
                  <a:bodyPr/>
                  <a:lstStyle/>
                  <a:p>
                    <a:fld id="{2AD5D858-A739-4EC1-9876-15304334546A}"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D495-42B4-90A5-F9E2DFA9FA5A}"/>
                </c:ext>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Sheet1!$A$2:$A$5</c:f>
              <c:strCache>
                <c:ptCount val="4"/>
                <c:pt idx="0">
                  <c:v>Full Guardianship</c:v>
                </c:pt>
                <c:pt idx="1">
                  <c:v>Limited Guardianship</c:v>
                </c:pt>
                <c:pt idx="2">
                  <c:v>No Guardianship</c:v>
                </c:pt>
                <c:pt idx="3">
                  <c:v>n/a</c:v>
                </c:pt>
              </c:strCache>
            </c:strRef>
          </c:cat>
          <c:val>
            <c:numRef>
              <c:f>Sheet1!$B$2:$B$5</c:f>
              <c:numCache>
                <c:formatCode>0%</c:formatCode>
                <c:ptCount val="4"/>
                <c:pt idx="0">
                  <c:v>0.9103</c:v>
                </c:pt>
                <c:pt idx="1">
                  <c:v>0.04</c:v>
                </c:pt>
                <c:pt idx="2">
                  <c:v>2.5600000000000001E-2</c:v>
                </c:pt>
                <c:pt idx="3">
                  <c:v>1.9199999999999998E-2</c:v>
                </c:pt>
              </c:numCache>
            </c:numRef>
          </c:val>
          <c:extLst>
            <c:ext xmlns:c15="http://schemas.microsoft.com/office/drawing/2012/chart" uri="{02D57815-91ED-43cb-92C2-25804820EDAC}">
              <c15:datalabelsRange>
                <c15:f>Sheet1!$B$2:$B$5</c15:f>
                <c15:dlblRangeCache>
                  <c:ptCount val="4"/>
                  <c:pt idx="0">
                    <c:v>91%</c:v>
                  </c:pt>
                  <c:pt idx="1">
                    <c:v>4%</c:v>
                  </c:pt>
                  <c:pt idx="2">
                    <c:v>3%</c:v>
                  </c:pt>
                  <c:pt idx="3">
                    <c:v>2%</c:v>
                  </c:pt>
                </c15:dlblRangeCache>
              </c15:datalabelsRange>
            </c:ext>
            <c:ext xmlns:c16="http://schemas.microsoft.com/office/drawing/2014/chart" uri="{C3380CC4-5D6E-409C-BE32-E72D297353CC}">
              <c16:uniqueId val="{00000008-D495-42B4-90A5-F9E2DFA9FA5A}"/>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Guardianship</a:t>
            </a:r>
            <a:r>
              <a:rPr lang="en-US" sz="1400" baseline="0">
                <a:latin typeface="Times New Roman" panose="02020603050405020304" pitchFamily="18" charset="0"/>
                <a:cs typeface="Times New Roman" panose="02020603050405020304" pitchFamily="18" charset="0"/>
              </a:rPr>
              <a:t> Orders - 2021</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9851941584225047E-2"/>
          <c:y val="0.11145833333333334"/>
          <c:w val="0.91311662965206275"/>
          <c:h val="0.74190726159230092"/>
        </c:manualLayout>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AE-40BB-AF91-C61FC5E568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AE-40BB-AF91-C61FC5E568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AE-40BB-AF91-C61FC5E56818}"/>
              </c:ext>
            </c:extLst>
          </c:dPt>
          <c:dLbls>
            <c:dLbl>
              <c:idx val="1"/>
              <c:layout>
                <c:manualLayout>
                  <c:x val="0.20496534087085269"/>
                  <c:y val="-1.49357198405755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AE-40BB-AF91-C61FC5E5681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Full Guardianship</c:v>
                </c:pt>
                <c:pt idx="1">
                  <c:v>Limited Guardianship</c:v>
                </c:pt>
                <c:pt idx="2">
                  <c:v>No Guardianship</c:v>
                </c:pt>
              </c:strCache>
            </c:strRef>
          </c:cat>
          <c:val>
            <c:numRef>
              <c:f>Sheet1!$B$2:$B$4</c:f>
              <c:numCache>
                <c:formatCode>0.00%</c:formatCode>
                <c:ptCount val="3"/>
                <c:pt idx="0">
                  <c:v>0.70789999999999997</c:v>
                </c:pt>
                <c:pt idx="1">
                  <c:v>5.1799999999999999E-2</c:v>
                </c:pt>
                <c:pt idx="2">
                  <c:v>0.24030000000000001</c:v>
                </c:pt>
              </c:numCache>
            </c:numRef>
          </c:val>
          <c:extLst>
            <c:ext xmlns:c16="http://schemas.microsoft.com/office/drawing/2014/chart" uri="{C3380CC4-5D6E-409C-BE32-E72D297353CC}">
              <c16:uniqueId val="{00000006-9BAE-40BB-AF91-C61FC5E568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7436469479776567"/>
          <c:y val="0.88563538932633423"/>
          <c:w val="0.80084325997711825"/>
          <c:h val="9.5425216734271859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aseline="0">
                <a:latin typeface="Times New Roman" panose="02020603050405020304" pitchFamily="18" charset="0"/>
                <a:cs typeface="Times New Roman" panose="02020603050405020304" pitchFamily="18" charset="0"/>
              </a:rPr>
              <a:t>Respondents w/ DD - 2021</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7008547008547008E-2"/>
          <c:y val="0.11347851049868767"/>
          <c:w val="0.91336429100208627"/>
          <c:h val="0.74210848643919514"/>
        </c:manualLayout>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52-4222-8126-39EBCED5A8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52-4222-8126-39EBCED5A8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52-4222-8126-39EBCED5A8F8}"/>
              </c:ext>
            </c:extLst>
          </c:dPt>
          <c:dLbls>
            <c:dLbl>
              <c:idx val="2"/>
              <c:layout>
                <c:manualLayout>
                  <c:x val="3.585772932229625E-2"/>
                  <c:y val="0.100012151258870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52-4222-8126-39EBCED5A8F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Full Guardianship</c:v>
                </c:pt>
                <c:pt idx="1">
                  <c:v>Limited Guardianship</c:v>
                </c:pt>
                <c:pt idx="2">
                  <c:v>No Guardianship</c:v>
                </c:pt>
              </c:strCache>
            </c:strRef>
          </c:cat>
          <c:val>
            <c:numRef>
              <c:f>Sheet1!$B$2:$B$4</c:f>
              <c:numCache>
                <c:formatCode>0.00%</c:formatCode>
                <c:ptCount val="3"/>
                <c:pt idx="0">
                  <c:v>0.88160000000000005</c:v>
                </c:pt>
                <c:pt idx="1">
                  <c:v>6.1400000000000003E-2</c:v>
                </c:pt>
                <c:pt idx="2">
                  <c:v>5.7000000000000002E-2</c:v>
                </c:pt>
              </c:numCache>
            </c:numRef>
          </c:val>
          <c:extLst>
            <c:ext xmlns:c16="http://schemas.microsoft.com/office/drawing/2014/chart" uri="{C3380CC4-5D6E-409C-BE32-E72D297353CC}">
              <c16:uniqueId val="{00000006-B052-4222-8126-39EBCED5A8F8}"/>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spc="-70" baseline="0">
                <a:latin typeface="Times New Roman" panose="02020603050405020304" pitchFamily="18" charset="0"/>
                <a:cs typeface="Times New Roman" panose="02020603050405020304" pitchFamily="18" charset="0"/>
              </a:rPr>
              <a:t>Unrepresented Respondent - 2019</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6000740292078872E-2"/>
          <c:y val="0.16451142825896758"/>
          <c:w val="0.86060367454068243"/>
          <c:h val="0.69924048556430451"/>
        </c:manualLayout>
      </c:layout>
      <c:pieChart>
        <c:varyColors val="1"/>
        <c:ser>
          <c:idx val="0"/>
          <c:order val="0"/>
          <c:tx>
            <c:strRef>
              <c:f>Sheet1!$B$1</c:f>
              <c:strCache>
                <c:ptCount val="1"/>
                <c:pt idx="0">
                  <c:v>With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72-47E5-847F-AFADC85346C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58-49B3-881D-F937348D69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58-49B3-881D-F937348D69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58-49B3-881D-F937348D69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 Guardianship</c:v>
                </c:pt>
                <c:pt idx="1">
                  <c:v>Limited Guardianship</c:v>
                </c:pt>
                <c:pt idx="2">
                  <c:v>No Guardianship</c:v>
                </c:pt>
                <c:pt idx="3">
                  <c:v>n/a</c:v>
                </c:pt>
              </c:strCache>
            </c:strRef>
          </c:cat>
          <c:val>
            <c:numRef>
              <c:f>Sheet1!$B$2:$B$5</c:f>
              <c:numCache>
                <c:formatCode>0.00%</c:formatCode>
                <c:ptCount val="4"/>
                <c:pt idx="0">
                  <c:v>0.75700000000000001</c:v>
                </c:pt>
                <c:pt idx="1">
                  <c:v>4.0800000000000003E-2</c:v>
                </c:pt>
                <c:pt idx="2">
                  <c:v>0.19439999999999999</c:v>
                </c:pt>
                <c:pt idx="3">
                  <c:v>7.7999999999999996E-3</c:v>
                </c:pt>
              </c:numCache>
            </c:numRef>
          </c:val>
          <c:extLst>
            <c:ext xmlns:c16="http://schemas.microsoft.com/office/drawing/2014/chart" uri="{C3380CC4-5D6E-409C-BE32-E72D297353CC}">
              <c16:uniqueId val="{00000000-4D72-47E5-847F-AFADC85346C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5388114947170065"/>
          <c:y val="0.88890009842519691"/>
          <c:w val="0.84181035062924825"/>
          <c:h val="9.3403274874731573E-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spc="-30" baseline="0">
                <a:latin typeface="Times New Roman" panose="02020603050405020304" pitchFamily="18" charset="0"/>
                <a:cs typeface="Times New Roman" panose="02020603050405020304" pitchFamily="18" charset="0"/>
              </a:rPr>
              <a:t>Represented Respondent - 2019</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8245171276667344E-2"/>
          <c:y val="0.16732174103237096"/>
          <c:w val="0.85633017026717817"/>
          <c:h val="0.69576826334208219"/>
        </c:manualLayout>
      </c:layout>
      <c:pieChart>
        <c:varyColors val="1"/>
        <c:ser>
          <c:idx val="0"/>
          <c:order val="0"/>
          <c:tx>
            <c:strRef>
              <c:f>Sheet1!$B$1</c:f>
              <c:strCache>
                <c:ptCount val="1"/>
                <c:pt idx="0">
                  <c:v>With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366-4D91-BA21-7E09432B54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366-4D91-BA21-7E09432B54B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366-4D91-BA21-7E09432B54B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258-4E4B-A796-C4CBEAB945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 Guardianship</c:v>
                </c:pt>
                <c:pt idx="1">
                  <c:v>Limited Guardianship</c:v>
                </c:pt>
                <c:pt idx="2">
                  <c:v>No Guardianship</c:v>
                </c:pt>
                <c:pt idx="3">
                  <c:v>n/a</c:v>
                </c:pt>
              </c:strCache>
            </c:strRef>
          </c:cat>
          <c:val>
            <c:numRef>
              <c:f>Sheet1!$B$2:$B$5</c:f>
              <c:numCache>
                <c:formatCode>0.00%</c:formatCode>
                <c:ptCount val="4"/>
                <c:pt idx="0">
                  <c:v>0.54190000000000005</c:v>
                </c:pt>
                <c:pt idx="1">
                  <c:v>0.1061</c:v>
                </c:pt>
                <c:pt idx="2">
                  <c:v>0.34079999999999999</c:v>
                </c:pt>
                <c:pt idx="3">
                  <c:v>1.12E-2</c:v>
                </c:pt>
              </c:numCache>
            </c:numRef>
          </c:val>
          <c:extLst>
            <c:ext xmlns:c16="http://schemas.microsoft.com/office/drawing/2014/chart" uri="{C3380CC4-5D6E-409C-BE32-E72D297353CC}">
              <c16:uniqueId val="{00000006-D366-4D91-BA21-7E09432B54B8}"/>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spc="-70" baseline="0"/>
              <a:t>Unrepresented Respondent - 2020</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1667003163072E-2"/>
          <c:y val="0.15927630139982502"/>
          <c:w val="0.86060367454068243"/>
          <c:h val="0.69924048556430451"/>
        </c:manualLayout>
      </c:layout>
      <c:pieChart>
        <c:varyColors val="1"/>
        <c:ser>
          <c:idx val="0"/>
          <c:order val="0"/>
          <c:tx>
            <c:strRef>
              <c:f>Sheet1!$B$1</c:f>
              <c:strCache>
                <c:ptCount val="1"/>
                <c:pt idx="0">
                  <c:v>Without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DB-4477-A5F9-15A5B5F39A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DB-4477-A5F9-15A5B5F39A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DB-4477-A5F9-15A5B5F39A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2DB-4477-A5F9-15A5B5F39A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 Guardianship</c:v>
                </c:pt>
                <c:pt idx="1">
                  <c:v>Limited Guardianship</c:v>
                </c:pt>
                <c:pt idx="2">
                  <c:v>No Guardianship</c:v>
                </c:pt>
                <c:pt idx="3">
                  <c:v>n/a</c:v>
                </c:pt>
              </c:strCache>
            </c:strRef>
          </c:cat>
          <c:val>
            <c:numRef>
              <c:f>Sheet1!$B$2:$B$5</c:f>
              <c:numCache>
                <c:formatCode>0.00%</c:formatCode>
                <c:ptCount val="4"/>
                <c:pt idx="0">
                  <c:v>0.77659999999999996</c:v>
                </c:pt>
                <c:pt idx="1">
                  <c:v>4.1000000000000002E-2</c:v>
                </c:pt>
                <c:pt idx="2">
                  <c:v>0.16389999999999999</c:v>
                </c:pt>
                <c:pt idx="3">
                  <c:v>1.84E-2</c:v>
                </c:pt>
              </c:numCache>
            </c:numRef>
          </c:val>
          <c:extLst>
            <c:ext xmlns:c16="http://schemas.microsoft.com/office/drawing/2014/chart" uri="{C3380CC4-5D6E-409C-BE32-E72D297353CC}">
              <c16:uniqueId val="{00000008-E2DB-4477-A5F9-15A5B5F39A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1969311528366647"/>
          <c:y val="0.88741201383917923"/>
          <c:w val="0.86745137627027391"/>
          <c:h val="9.3403274874731573E-2"/>
        </c:manualLayout>
      </c:layout>
      <c:overlay val="1"/>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spc="-30" baseline="0">
                <a:latin typeface="Times New Roman" panose="02020603050405020304" pitchFamily="18" charset="0"/>
                <a:cs typeface="Times New Roman" panose="02020603050405020304" pitchFamily="18" charset="0"/>
              </a:rPr>
              <a:t>Represented Respondent - 2020</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6923076923076927E-2"/>
          <c:y val="0.16214020122484687"/>
          <c:w val="0.85666834914866408"/>
          <c:h val="0.69604303368328957"/>
        </c:manualLayout>
      </c:layout>
      <c:pieChart>
        <c:varyColors val="1"/>
        <c:ser>
          <c:idx val="0"/>
          <c:order val="0"/>
          <c:tx>
            <c:strRef>
              <c:f>Sheet1!$B$1</c:f>
              <c:strCache>
                <c:ptCount val="1"/>
                <c:pt idx="0">
                  <c:v>With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40-4288-A888-D759DD9EB7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40-4288-A888-D759DD9EB7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40-4288-A888-D759DD9EB7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440-4288-A888-D759DD9EB7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 Guardianship</c:v>
                </c:pt>
                <c:pt idx="1">
                  <c:v>Limited Guardianship</c:v>
                </c:pt>
                <c:pt idx="2">
                  <c:v>No Guardianship</c:v>
                </c:pt>
                <c:pt idx="3">
                  <c:v>n/a</c:v>
                </c:pt>
              </c:strCache>
            </c:strRef>
          </c:cat>
          <c:val>
            <c:numRef>
              <c:f>Sheet1!$B$2:$B$5</c:f>
              <c:numCache>
                <c:formatCode>0.00%</c:formatCode>
                <c:ptCount val="4"/>
                <c:pt idx="0">
                  <c:v>0.56120000000000003</c:v>
                </c:pt>
                <c:pt idx="1">
                  <c:v>0.1444</c:v>
                </c:pt>
                <c:pt idx="2">
                  <c:v>0.28889999999999999</c:v>
                </c:pt>
                <c:pt idx="3">
                  <c:v>5.5999999999999999E-3</c:v>
                </c:pt>
              </c:numCache>
            </c:numRef>
          </c:val>
          <c:extLst>
            <c:ext xmlns:c16="http://schemas.microsoft.com/office/drawing/2014/chart" uri="{C3380CC4-5D6E-409C-BE32-E72D297353CC}">
              <c16:uniqueId val="{00000008-4440-4288-A888-D759DD9EB780}"/>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spc="-70" baseline="0"/>
              <a:t>Unrepresented Respondent - 2021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1667003163072E-2"/>
          <c:y val="0.16567120516185477"/>
          <c:w val="0.84778316172016954"/>
          <c:h val="0.68882381889763777"/>
        </c:manualLayout>
      </c:layout>
      <c:pieChart>
        <c:varyColors val="1"/>
        <c:ser>
          <c:idx val="0"/>
          <c:order val="0"/>
          <c:tx>
            <c:strRef>
              <c:f>Sheet1!$B$1</c:f>
              <c:strCache>
                <c:ptCount val="1"/>
                <c:pt idx="0">
                  <c:v>Without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40-4670-B488-7DB6428846E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40-4670-B488-7DB6428846E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40-4670-B488-7DB6428846E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Full Guardianship</c:v>
                </c:pt>
                <c:pt idx="1">
                  <c:v>Limited Guardianship</c:v>
                </c:pt>
                <c:pt idx="2">
                  <c:v>No Guardianship</c:v>
                </c:pt>
              </c:strCache>
            </c:strRef>
          </c:cat>
          <c:val>
            <c:numRef>
              <c:f>Sheet1!$B$2:$B$4</c:f>
              <c:numCache>
                <c:formatCode>0.00%</c:formatCode>
                <c:ptCount val="3"/>
                <c:pt idx="0">
                  <c:v>0.7611</c:v>
                </c:pt>
                <c:pt idx="1">
                  <c:v>3.1899999999999998E-2</c:v>
                </c:pt>
                <c:pt idx="2">
                  <c:v>0.20699999999999999</c:v>
                </c:pt>
              </c:numCache>
            </c:numRef>
          </c:val>
          <c:extLst>
            <c:ext xmlns:c16="http://schemas.microsoft.com/office/drawing/2014/chart" uri="{C3380CC4-5D6E-409C-BE32-E72D297353CC}">
              <c16:uniqueId val="{00000008-0B40-4670-B488-7DB6428846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8806918365973485"/>
          <c:y val="0.88425544818261359"/>
          <c:w val="0.79907530789420556"/>
          <c:h val="9.6559840531297222E-2"/>
        </c:manualLayout>
      </c:layout>
      <c:overlay val="1"/>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spc="-30" baseline="0">
                <a:latin typeface="Times New Roman" panose="02020603050405020304" pitchFamily="18" charset="0"/>
                <a:cs typeface="Times New Roman" panose="02020603050405020304" pitchFamily="18" charset="0"/>
              </a:rPr>
              <a:t>Represented Respondent - 2021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3971667003163072E-2"/>
          <c:y val="0.16506288276465442"/>
          <c:w val="0.85205666599367391"/>
          <c:h val="0.69229604111985998"/>
        </c:manualLayout>
      </c:layout>
      <c:pieChart>
        <c:varyColors val="1"/>
        <c:ser>
          <c:idx val="0"/>
          <c:order val="0"/>
          <c:tx>
            <c:strRef>
              <c:f>Sheet1!$B$1</c:f>
              <c:strCache>
                <c:ptCount val="1"/>
                <c:pt idx="0">
                  <c:v>With Attorneys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DF-4E70-9BDB-FEDA4FAE7A5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DF-4E70-9BDB-FEDA4FAE7A5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1DF-4E70-9BDB-FEDA4FAE7A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Full Guardianship</c:v>
                </c:pt>
                <c:pt idx="1">
                  <c:v>Limited Guardianship</c:v>
                </c:pt>
                <c:pt idx="2">
                  <c:v>No Guardianship</c:v>
                </c:pt>
              </c:strCache>
            </c:strRef>
          </c:cat>
          <c:val>
            <c:numRef>
              <c:f>Sheet1!$B$2:$B$4</c:f>
              <c:numCache>
                <c:formatCode>0.00%</c:formatCode>
                <c:ptCount val="3"/>
                <c:pt idx="0">
                  <c:v>0.55659999999999998</c:v>
                </c:pt>
                <c:pt idx="1">
                  <c:v>0.1086</c:v>
                </c:pt>
                <c:pt idx="2">
                  <c:v>0.33479999999999999</c:v>
                </c:pt>
              </c:numCache>
            </c:numRef>
          </c:val>
          <c:extLst>
            <c:ext xmlns:c16="http://schemas.microsoft.com/office/drawing/2014/chart" uri="{C3380CC4-5D6E-409C-BE32-E72D297353CC}">
              <c16:uniqueId val="{00000008-F1DF-4E70-9BDB-FEDA4FAE7A51}"/>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Unrepresented Respondents</a:t>
            </a:r>
          </a:p>
        </c:rich>
      </c:tx>
      <c:layout>
        <c:manualLayout>
          <c:xMode val="edge"/>
          <c:yMode val="edge"/>
          <c:x val="0.1645833333333333"/>
          <c:y val="2.58064516129032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Overall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Sheet1!$B$2:$B$4</c:f>
              <c:numCache>
                <c:formatCode>0%</c:formatCode>
                <c:ptCount val="3"/>
                <c:pt idx="0">
                  <c:v>0.78</c:v>
                </c:pt>
                <c:pt idx="1">
                  <c:v>0.73</c:v>
                </c:pt>
                <c:pt idx="2">
                  <c:v>0.74</c:v>
                </c:pt>
              </c:numCache>
            </c:numRef>
          </c:val>
          <c:smooth val="0"/>
          <c:extLst>
            <c:ext xmlns:c16="http://schemas.microsoft.com/office/drawing/2014/chart" uri="{C3380CC4-5D6E-409C-BE32-E72D297353CC}">
              <c16:uniqueId val="{00000000-1699-4190-A1B0-B18AB2B8BA2E}"/>
            </c:ext>
          </c:extLst>
        </c:ser>
        <c:ser>
          <c:idx val="1"/>
          <c:order val="1"/>
          <c:tx>
            <c:strRef>
              <c:f>Sheet1!$C$1</c:f>
              <c:strCache>
                <c:ptCount val="1"/>
                <c:pt idx="0">
                  <c:v>Respondents w/ Developmental Disabilities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Sheet1!$C$2:$C$4</c:f>
              <c:numCache>
                <c:formatCode>0%</c:formatCode>
                <c:ptCount val="3"/>
                <c:pt idx="0">
                  <c:v>0.9</c:v>
                </c:pt>
                <c:pt idx="1">
                  <c:v>0.96</c:v>
                </c:pt>
                <c:pt idx="2">
                  <c:v>0.93</c:v>
                </c:pt>
              </c:numCache>
            </c:numRef>
          </c:val>
          <c:smooth val="0"/>
          <c:extLst>
            <c:ext xmlns:c16="http://schemas.microsoft.com/office/drawing/2014/chart" uri="{C3380CC4-5D6E-409C-BE32-E72D297353CC}">
              <c16:uniqueId val="{00000001-1699-4190-A1B0-B18AB2B8BA2E}"/>
            </c:ext>
          </c:extLst>
        </c:ser>
        <c:dLbls>
          <c:showLegendKey val="0"/>
          <c:showVal val="0"/>
          <c:showCatName val="0"/>
          <c:showSerName val="0"/>
          <c:showPercent val="0"/>
          <c:showBubbleSize val="0"/>
        </c:dLbls>
        <c:marker val="1"/>
        <c:smooth val="0"/>
        <c:axId val="1994128096"/>
        <c:axId val="105096000"/>
      </c:lineChart>
      <c:catAx>
        <c:axId val="19941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096000"/>
        <c:crosses val="autoZero"/>
        <c:auto val="1"/>
        <c:lblAlgn val="ctr"/>
        <c:lblOffset val="100"/>
        <c:noMultiLvlLbl val="0"/>
      </c:catAx>
      <c:valAx>
        <c:axId val="1050960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412809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aseline="0">
                <a:latin typeface="Times New Roman" panose="02020603050405020304" pitchFamily="18" charset="0"/>
                <a:cs typeface="Times New Roman" panose="02020603050405020304" pitchFamily="18" charset="0"/>
              </a:rPr>
              <a:t>Representation of Respondents w/ DD </a:t>
            </a:r>
            <a:r>
              <a:rPr lang="en-US" sz="1400">
                <a:latin typeface="Times New Roman" panose="02020603050405020304" pitchFamily="18" charset="0"/>
                <a:cs typeface="Times New Roman" panose="02020603050405020304" pitchFamily="18" charset="0"/>
              </a:rPr>
              <a:t>- 2019</a:t>
            </a:r>
          </a:p>
        </c:rich>
      </c:tx>
      <c:overlay val="0"/>
      <c:spPr>
        <a:noFill/>
        <a:ln>
          <a:noFill/>
        </a:ln>
        <a:effectLst/>
      </c:sp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5E-4D6C-9127-5C73F62A05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5E-4D6C-9127-5C73F62A0533}"/>
              </c:ext>
            </c:extLst>
          </c:dPt>
          <c:dLbls>
            <c:dLbl>
              <c:idx val="0"/>
              <c:layout>
                <c:manualLayout>
                  <c:x val="-0.1822430849989905"/>
                  <c:y val="-0.1690893417734549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baseline="0"/>
                      <a:t>Unrepresented
</a:t>
                    </a:r>
                    <a:fld id="{62FC9EE4-8CD6-47B7-8AF8-F6A4117999D7}" type="PERCENTAGE">
                      <a:rPr lang="en-US" baseline="0"/>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9910256410256408"/>
                      <c:h val="0.15318627450980393"/>
                    </c:manualLayout>
                  </c15:layout>
                  <c15:dlblFieldTable/>
                  <c15:showDataLabelsRange val="0"/>
                </c:ext>
                <c:ext xmlns:c16="http://schemas.microsoft.com/office/drawing/2014/chart" uri="{C3380CC4-5D6E-409C-BE32-E72D297353CC}">
                  <c16:uniqueId val="{00000001-765E-4D6C-9127-5C73F62A0533}"/>
                </c:ext>
              </c:extLst>
            </c:dLbl>
            <c:dLbl>
              <c:idx val="1"/>
              <c:layout>
                <c:manualLayout>
                  <c:x val="0.20463994885254727"/>
                  <c:y val="0.2913976056301785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C3A8D503-26F9-4C44-B93C-6A468E97079B}" type="PERCENTAGE">
                      <a:rPr lang="en-US" baseline="0"/>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6428528164748638"/>
                      <c:h val="0.13176624980700941"/>
                    </c:manualLayout>
                  </c15:layout>
                  <c15:dlblFieldTable/>
                  <c15:showDataLabelsRange val="0"/>
                </c:ext>
                <c:ext xmlns:c16="http://schemas.microsoft.com/office/drawing/2014/chart" uri="{C3380CC4-5D6E-409C-BE32-E72D297353CC}">
                  <c16:uniqueId val="{00000003-765E-4D6C-9127-5C73F62A0533}"/>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0.90159999999999996</c:v>
                </c:pt>
                <c:pt idx="1">
                  <c:v>9.8400000000000001E-2</c:v>
                </c:pt>
              </c:numCache>
            </c:numRef>
          </c:val>
          <c:extLst>
            <c:ext xmlns:c16="http://schemas.microsoft.com/office/drawing/2014/chart" uri="{C3380CC4-5D6E-409C-BE32-E72D297353CC}">
              <c16:uniqueId val="{00000004-765E-4D6C-9127-5C73F62A0533}"/>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Guardianship Ordered</a:t>
            </a:r>
          </a:p>
        </c:rich>
      </c:tx>
      <c:layout>
        <c:manualLayout>
          <c:xMode val="edge"/>
          <c:yMode val="edge"/>
          <c:x val="0.22255972343734812"/>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Overall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Sheet1!$B$2:$B$4</c:f>
              <c:numCache>
                <c:formatCode>0%</c:formatCode>
                <c:ptCount val="3"/>
                <c:pt idx="0">
                  <c:v>0.77</c:v>
                </c:pt>
                <c:pt idx="1">
                  <c:v>0.79</c:v>
                </c:pt>
                <c:pt idx="2">
                  <c:v>0.76</c:v>
                </c:pt>
              </c:numCache>
            </c:numRef>
          </c:val>
          <c:smooth val="0"/>
          <c:extLst>
            <c:ext xmlns:c16="http://schemas.microsoft.com/office/drawing/2014/chart" uri="{C3380CC4-5D6E-409C-BE32-E72D297353CC}">
              <c16:uniqueId val="{00000000-098C-46AD-8AE3-2392C9418FA9}"/>
            </c:ext>
          </c:extLst>
        </c:ser>
        <c:ser>
          <c:idx val="1"/>
          <c:order val="1"/>
          <c:tx>
            <c:strRef>
              <c:f>Sheet1!$C$1</c:f>
              <c:strCache>
                <c:ptCount val="1"/>
                <c:pt idx="0">
                  <c:v>Respondents w/ Developmental Disabilities</c:v>
                </c:pt>
              </c:strCache>
            </c:strRef>
          </c:tx>
          <c:spPr>
            <a:ln w="28575" cap="sq">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2-098C-46AD-8AE3-2392C9418F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Sheet1!$C$2:$C$4</c:f>
              <c:numCache>
                <c:formatCode>0%</c:formatCode>
                <c:ptCount val="3"/>
                <c:pt idx="0">
                  <c:v>0.9</c:v>
                </c:pt>
                <c:pt idx="1">
                  <c:v>0.95</c:v>
                </c:pt>
                <c:pt idx="2">
                  <c:v>0.94</c:v>
                </c:pt>
              </c:numCache>
            </c:numRef>
          </c:val>
          <c:smooth val="0"/>
          <c:extLst>
            <c:ext xmlns:c16="http://schemas.microsoft.com/office/drawing/2014/chart" uri="{C3380CC4-5D6E-409C-BE32-E72D297353CC}">
              <c16:uniqueId val="{00000003-098C-46AD-8AE3-2392C9418FA9}"/>
            </c:ext>
          </c:extLst>
        </c:ser>
        <c:dLbls>
          <c:showLegendKey val="0"/>
          <c:showVal val="0"/>
          <c:showCatName val="0"/>
          <c:showSerName val="0"/>
          <c:showPercent val="0"/>
          <c:showBubbleSize val="0"/>
        </c:dLbls>
        <c:marker val="1"/>
        <c:smooth val="0"/>
        <c:axId val="1994248896"/>
        <c:axId val="105117216"/>
      </c:lineChart>
      <c:catAx>
        <c:axId val="19942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117216"/>
        <c:crosses val="autoZero"/>
        <c:auto val="1"/>
        <c:lblAlgn val="ctr"/>
        <c:lblOffset val="100"/>
        <c:noMultiLvlLbl val="0"/>
      </c:catAx>
      <c:valAx>
        <c:axId val="105117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42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Rate of Full Guardianship when Guardianship Ordered</a:t>
            </a:r>
          </a:p>
        </c:rich>
      </c:tx>
      <c:layout>
        <c:manualLayout>
          <c:xMode val="edge"/>
          <c:yMode val="edge"/>
          <c:x val="0.11629028142315544"/>
          <c:y val="1.24031007751937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Overall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Sheet1!$B$2:$B$4</c:f>
              <c:numCache>
                <c:formatCode>0%</c:formatCode>
                <c:ptCount val="3"/>
                <c:pt idx="0">
                  <c:v>0.93</c:v>
                </c:pt>
                <c:pt idx="1">
                  <c:v>0.91</c:v>
                </c:pt>
                <c:pt idx="2">
                  <c:v>0.93</c:v>
                </c:pt>
              </c:numCache>
            </c:numRef>
          </c:val>
          <c:smooth val="0"/>
          <c:extLst>
            <c:ext xmlns:c16="http://schemas.microsoft.com/office/drawing/2014/chart" uri="{C3380CC4-5D6E-409C-BE32-E72D297353CC}">
              <c16:uniqueId val="{00000000-F7B5-41FB-8C0E-82440982AF44}"/>
            </c:ext>
          </c:extLst>
        </c:ser>
        <c:ser>
          <c:idx val="1"/>
          <c:order val="1"/>
          <c:tx>
            <c:strRef>
              <c:f>Sheet1!$C$1</c:f>
              <c:strCache>
                <c:ptCount val="1"/>
                <c:pt idx="0">
                  <c:v>Respondents w/ Developmental Disabilities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2019</c:v>
                </c:pt>
                <c:pt idx="1">
                  <c:v>2020</c:v>
                </c:pt>
                <c:pt idx="2">
                  <c:v>2021</c:v>
                </c:pt>
              </c:numCache>
            </c:numRef>
          </c:cat>
          <c:val>
            <c:numRef>
              <c:f>Sheet1!$C$2:$C$4</c:f>
              <c:numCache>
                <c:formatCode>0%</c:formatCode>
                <c:ptCount val="3"/>
                <c:pt idx="0">
                  <c:v>0.91</c:v>
                </c:pt>
                <c:pt idx="1">
                  <c:v>0.95</c:v>
                </c:pt>
                <c:pt idx="2">
                  <c:v>0.93</c:v>
                </c:pt>
              </c:numCache>
            </c:numRef>
          </c:val>
          <c:smooth val="0"/>
          <c:extLst>
            <c:ext xmlns:c16="http://schemas.microsoft.com/office/drawing/2014/chart" uri="{C3380CC4-5D6E-409C-BE32-E72D297353CC}">
              <c16:uniqueId val="{00000001-F7B5-41FB-8C0E-82440982AF44}"/>
            </c:ext>
          </c:extLst>
        </c:ser>
        <c:dLbls>
          <c:showLegendKey val="0"/>
          <c:showVal val="0"/>
          <c:showCatName val="0"/>
          <c:showSerName val="0"/>
          <c:showPercent val="0"/>
          <c:showBubbleSize val="0"/>
        </c:dLbls>
        <c:marker val="1"/>
        <c:smooth val="0"/>
        <c:axId val="1940833968"/>
        <c:axId val="105116800"/>
      </c:lineChart>
      <c:catAx>
        <c:axId val="194083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116800"/>
        <c:crosses val="autoZero"/>
        <c:auto val="1"/>
        <c:lblAlgn val="ctr"/>
        <c:lblOffset val="100"/>
        <c:noMultiLvlLbl val="0"/>
      </c:catAx>
      <c:valAx>
        <c:axId val="10511680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083396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[Guardianship Data 2019 COMPLETE.xlsx]ALL 2019 Pivot Tables!PivotTable1</c:name>
    <c:fmtId val="-1"/>
  </c:pivotSource>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2019</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manualLayout>
          <c:layoutTarget val="inner"/>
          <c:xMode val="edge"/>
          <c:yMode val="edge"/>
          <c:x val="0.28913031369471098"/>
          <c:y val="8.9215004374453191E-2"/>
          <c:w val="0.62887611717345626"/>
          <c:h val="0.816195975503062"/>
        </c:manualLayout>
      </c:layout>
      <c:barChart>
        <c:barDir val="bar"/>
        <c:grouping val="clustered"/>
        <c:varyColors val="0"/>
        <c:ser>
          <c:idx val="0"/>
          <c:order val="0"/>
          <c:tx>
            <c:strRef>
              <c:f>'ALL 2019 Pivot Tables'!$B$42</c:f>
              <c:strCache>
                <c:ptCount val="1"/>
                <c:pt idx="0">
                  <c:v>Count of Year of birth of Respondent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2019 Pivot Tables'!$A$43:$A$126</c:f>
              <c:strCache>
                <c:ptCount val="83"/>
                <c:pt idx="0">
                  <c:v>1917</c:v>
                </c:pt>
                <c:pt idx="1">
                  <c:v>1919</c:v>
                </c:pt>
                <c:pt idx="2">
                  <c:v>1920</c:v>
                </c:pt>
                <c:pt idx="3">
                  <c:v>1922</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1980</c:v>
                </c:pt>
                <c:pt idx="60">
                  <c:v>1981</c:v>
                </c:pt>
                <c:pt idx="61">
                  <c:v>1982</c:v>
                </c:pt>
                <c:pt idx="62">
                  <c:v>1983</c:v>
                </c:pt>
                <c:pt idx="63">
                  <c:v>1984</c:v>
                </c:pt>
                <c:pt idx="64">
                  <c:v>1985</c:v>
                </c:pt>
                <c:pt idx="65">
                  <c:v>1986</c:v>
                </c:pt>
                <c:pt idx="66">
                  <c:v>1987</c:v>
                </c:pt>
                <c:pt idx="67">
                  <c:v>1988</c:v>
                </c:pt>
                <c:pt idx="68">
                  <c:v>1989</c:v>
                </c:pt>
                <c:pt idx="69">
                  <c:v>1990</c:v>
                </c:pt>
                <c:pt idx="70">
                  <c:v>1991</c:v>
                </c:pt>
                <c:pt idx="71">
                  <c:v>1992</c:v>
                </c:pt>
                <c:pt idx="72">
                  <c:v>1993</c:v>
                </c:pt>
                <c:pt idx="73">
                  <c:v>1994</c:v>
                </c:pt>
                <c:pt idx="74">
                  <c:v>1995</c:v>
                </c:pt>
                <c:pt idx="75">
                  <c:v>1996</c:v>
                </c:pt>
                <c:pt idx="76">
                  <c:v>1997</c:v>
                </c:pt>
                <c:pt idx="77">
                  <c:v>1998</c:v>
                </c:pt>
                <c:pt idx="78">
                  <c:v>1999</c:v>
                </c:pt>
                <c:pt idx="79">
                  <c:v>2000</c:v>
                </c:pt>
                <c:pt idx="80">
                  <c:v>2001</c:v>
                </c:pt>
                <c:pt idx="81">
                  <c:v>2002</c:v>
                </c:pt>
                <c:pt idx="82">
                  <c:v>2003</c:v>
                </c:pt>
              </c:strCache>
            </c:strRef>
          </c:cat>
          <c:val>
            <c:numRef>
              <c:f>'ALL 2019 Pivot Tables'!$B$43:$B$126</c:f>
              <c:numCache>
                <c:formatCode>General</c:formatCode>
                <c:ptCount val="83"/>
                <c:pt idx="0">
                  <c:v>1</c:v>
                </c:pt>
                <c:pt idx="1">
                  <c:v>2</c:v>
                </c:pt>
                <c:pt idx="2">
                  <c:v>1</c:v>
                </c:pt>
                <c:pt idx="3">
                  <c:v>2</c:v>
                </c:pt>
                <c:pt idx="4">
                  <c:v>5</c:v>
                </c:pt>
                <c:pt idx="5">
                  <c:v>10</c:v>
                </c:pt>
                <c:pt idx="6">
                  <c:v>8</c:v>
                </c:pt>
                <c:pt idx="7">
                  <c:v>9</c:v>
                </c:pt>
                <c:pt idx="8">
                  <c:v>5</c:v>
                </c:pt>
                <c:pt idx="9">
                  <c:v>10</c:v>
                </c:pt>
                <c:pt idx="10">
                  <c:v>19</c:v>
                </c:pt>
                <c:pt idx="11">
                  <c:v>17</c:v>
                </c:pt>
                <c:pt idx="12">
                  <c:v>16</c:v>
                </c:pt>
                <c:pt idx="13">
                  <c:v>16</c:v>
                </c:pt>
                <c:pt idx="14">
                  <c:v>17</c:v>
                </c:pt>
                <c:pt idx="15">
                  <c:v>16</c:v>
                </c:pt>
                <c:pt idx="16">
                  <c:v>17</c:v>
                </c:pt>
                <c:pt idx="17">
                  <c:v>17</c:v>
                </c:pt>
                <c:pt idx="18">
                  <c:v>15</c:v>
                </c:pt>
                <c:pt idx="19">
                  <c:v>22</c:v>
                </c:pt>
                <c:pt idx="20">
                  <c:v>16</c:v>
                </c:pt>
                <c:pt idx="21">
                  <c:v>16</c:v>
                </c:pt>
                <c:pt idx="22">
                  <c:v>16</c:v>
                </c:pt>
                <c:pt idx="23">
                  <c:v>11</c:v>
                </c:pt>
                <c:pt idx="24">
                  <c:v>9</c:v>
                </c:pt>
                <c:pt idx="25">
                  <c:v>9</c:v>
                </c:pt>
                <c:pt idx="26">
                  <c:v>18</c:v>
                </c:pt>
                <c:pt idx="27">
                  <c:v>20</c:v>
                </c:pt>
                <c:pt idx="28">
                  <c:v>9</c:v>
                </c:pt>
                <c:pt idx="29">
                  <c:v>10</c:v>
                </c:pt>
                <c:pt idx="30">
                  <c:v>12</c:v>
                </c:pt>
                <c:pt idx="31">
                  <c:v>6</c:v>
                </c:pt>
                <c:pt idx="32">
                  <c:v>10</c:v>
                </c:pt>
                <c:pt idx="33">
                  <c:v>14</c:v>
                </c:pt>
                <c:pt idx="34">
                  <c:v>5</c:v>
                </c:pt>
                <c:pt idx="35">
                  <c:v>8</c:v>
                </c:pt>
                <c:pt idx="36">
                  <c:v>6</c:v>
                </c:pt>
                <c:pt idx="37">
                  <c:v>8</c:v>
                </c:pt>
                <c:pt idx="38">
                  <c:v>8</c:v>
                </c:pt>
                <c:pt idx="39">
                  <c:v>11</c:v>
                </c:pt>
                <c:pt idx="40">
                  <c:v>7</c:v>
                </c:pt>
                <c:pt idx="41">
                  <c:v>8</c:v>
                </c:pt>
                <c:pt idx="42">
                  <c:v>4</c:v>
                </c:pt>
                <c:pt idx="43">
                  <c:v>10</c:v>
                </c:pt>
                <c:pt idx="44">
                  <c:v>5</c:v>
                </c:pt>
                <c:pt idx="45">
                  <c:v>3</c:v>
                </c:pt>
                <c:pt idx="46">
                  <c:v>4</c:v>
                </c:pt>
                <c:pt idx="47">
                  <c:v>5</c:v>
                </c:pt>
                <c:pt idx="48">
                  <c:v>7</c:v>
                </c:pt>
                <c:pt idx="49">
                  <c:v>5</c:v>
                </c:pt>
                <c:pt idx="50">
                  <c:v>8</c:v>
                </c:pt>
                <c:pt idx="51">
                  <c:v>3</c:v>
                </c:pt>
                <c:pt idx="52">
                  <c:v>1</c:v>
                </c:pt>
                <c:pt idx="53">
                  <c:v>5</c:v>
                </c:pt>
                <c:pt idx="54">
                  <c:v>3</c:v>
                </c:pt>
                <c:pt idx="55">
                  <c:v>3</c:v>
                </c:pt>
                <c:pt idx="56">
                  <c:v>1</c:v>
                </c:pt>
                <c:pt idx="57">
                  <c:v>2</c:v>
                </c:pt>
                <c:pt idx="58">
                  <c:v>1</c:v>
                </c:pt>
                <c:pt idx="59">
                  <c:v>3</c:v>
                </c:pt>
                <c:pt idx="60">
                  <c:v>3</c:v>
                </c:pt>
                <c:pt idx="61">
                  <c:v>2</c:v>
                </c:pt>
                <c:pt idx="62">
                  <c:v>2</c:v>
                </c:pt>
                <c:pt idx="63">
                  <c:v>4</c:v>
                </c:pt>
                <c:pt idx="64">
                  <c:v>8</c:v>
                </c:pt>
                <c:pt idx="65">
                  <c:v>5</c:v>
                </c:pt>
                <c:pt idx="66">
                  <c:v>5</c:v>
                </c:pt>
                <c:pt idx="67">
                  <c:v>6</c:v>
                </c:pt>
                <c:pt idx="68">
                  <c:v>3</c:v>
                </c:pt>
                <c:pt idx="69">
                  <c:v>3</c:v>
                </c:pt>
                <c:pt idx="70">
                  <c:v>6</c:v>
                </c:pt>
                <c:pt idx="71">
                  <c:v>10</c:v>
                </c:pt>
                <c:pt idx="72">
                  <c:v>6</c:v>
                </c:pt>
                <c:pt idx="73">
                  <c:v>1</c:v>
                </c:pt>
                <c:pt idx="74">
                  <c:v>7</c:v>
                </c:pt>
                <c:pt idx="75">
                  <c:v>10</c:v>
                </c:pt>
                <c:pt idx="76">
                  <c:v>4</c:v>
                </c:pt>
                <c:pt idx="77">
                  <c:v>9</c:v>
                </c:pt>
                <c:pt idx="78">
                  <c:v>14</c:v>
                </c:pt>
                <c:pt idx="79">
                  <c:v>24</c:v>
                </c:pt>
                <c:pt idx="80">
                  <c:v>130</c:v>
                </c:pt>
                <c:pt idx="81">
                  <c:v>14</c:v>
                </c:pt>
                <c:pt idx="82">
                  <c:v>1</c:v>
                </c:pt>
              </c:numCache>
            </c:numRef>
          </c:val>
          <c:extLst>
            <c:ext xmlns:c16="http://schemas.microsoft.com/office/drawing/2014/chart" uri="{C3380CC4-5D6E-409C-BE32-E72D297353CC}">
              <c16:uniqueId val="{00000000-691A-4782-B655-F1FD5BCDDB60}"/>
            </c:ext>
          </c:extLst>
        </c:ser>
        <c:ser>
          <c:idx val="1"/>
          <c:order val="1"/>
          <c:tx>
            <c:strRef>
              <c:f>'ALL 2019 Pivot Tables'!$C$42</c:f>
              <c:strCache>
                <c:ptCount val="1"/>
                <c:pt idx="0">
                  <c:v>Count of Year of birth of Respondent2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2019 Pivot Tables'!$A$43:$A$126</c:f>
              <c:strCache>
                <c:ptCount val="83"/>
                <c:pt idx="0">
                  <c:v>1917</c:v>
                </c:pt>
                <c:pt idx="1">
                  <c:v>1919</c:v>
                </c:pt>
                <c:pt idx="2">
                  <c:v>1920</c:v>
                </c:pt>
                <c:pt idx="3">
                  <c:v>1922</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pt idx="20">
                  <c:v>1940</c:v>
                </c:pt>
                <c:pt idx="21">
                  <c:v>1941</c:v>
                </c:pt>
                <c:pt idx="22">
                  <c:v>1942</c:v>
                </c:pt>
                <c:pt idx="23">
                  <c:v>1943</c:v>
                </c:pt>
                <c:pt idx="24">
                  <c:v>1944</c:v>
                </c:pt>
                <c:pt idx="25">
                  <c:v>1945</c:v>
                </c:pt>
                <c:pt idx="26">
                  <c:v>1946</c:v>
                </c:pt>
                <c:pt idx="27">
                  <c:v>1947</c:v>
                </c:pt>
                <c:pt idx="28">
                  <c:v>1948</c:v>
                </c:pt>
                <c:pt idx="29">
                  <c:v>1949</c:v>
                </c:pt>
                <c:pt idx="30">
                  <c:v>1950</c:v>
                </c:pt>
                <c:pt idx="31">
                  <c:v>1951</c:v>
                </c:pt>
                <c:pt idx="32">
                  <c:v>1952</c:v>
                </c:pt>
                <c:pt idx="33">
                  <c:v>1953</c:v>
                </c:pt>
                <c:pt idx="34">
                  <c:v>1954</c:v>
                </c:pt>
                <c:pt idx="35">
                  <c:v>1955</c:v>
                </c:pt>
                <c:pt idx="36">
                  <c:v>1956</c:v>
                </c:pt>
                <c:pt idx="37">
                  <c:v>1957</c:v>
                </c:pt>
                <c:pt idx="38">
                  <c:v>1958</c:v>
                </c:pt>
                <c:pt idx="39">
                  <c:v>1959</c:v>
                </c:pt>
                <c:pt idx="40">
                  <c:v>1960</c:v>
                </c:pt>
                <c:pt idx="41">
                  <c:v>1961</c:v>
                </c:pt>
                <c:pt idx="42">
                  <c:v>1962</c:v>
                </c:pt>
                <c:pt idx="43">
                  <c:v>1963</c:v>
                </c:pt>
                <c:pt idx="44">
                  <c:v>1964</c:v>
                </c:pt>
                <c:pt idx="45">
                  <c:v>1965</c:v>
                </c:pt>
                <c:pt idx="46">
                  <c:v>1966</c:v>
                </c:pt>
                <c:pt idx="47">
                  <c:v>1967</c:v>
                </c:pt>
                <c:pt idx="48">
                  <c:v>1968</c:v>
                </c:pt>
                <c:pt idx="49">
                  <c:v>1969</c:v>
                </c:pt>
                <c:pt idx="50">
                  <c:v>1970</c:v>
                </c:pt>
                <c:pt idx="51">
                  <c:v>1971</c:v>
                </c:pt>
                <c:pt idx="52">
                  <c:v>1972</c:v>
                </c:pt>
                <c:pt idx="53">
                  <c:v>1973</c:v>
                </c:pt>
                <c:pt idx="54">
                  <c:v>1974</c:v>
                </c:pt>
                <c:pt idx="55">
                  <c:v>1975</c:v>
                </c:pt>
                <c:pt idx="56">
                  <c:v>1976</c:v>
                </c:pt>
                <c:pt idx="57">
                  <c:v>1977</c:v>
                </c:pt>
                <c:pt idx="58">
                  <c:v>1978</c:v>
                </c:pt>
                <c:pt idx="59">
                  <c:v>1980</c:v>
                </c:pt>
                <c:pt idx="60">
                  <c:v>1981</c:v>
                </c:pt>
                <c:pt idx="61">
                  <c:v>1982</c:v>
                </c:pt>
                <c:pt idx="62">
                  <c:v>1983</c:v>
                </c:pt>
                <c:pt idx="63">
                  <c:v>1984</c:v>
                </c:pt>
                <c:pt idx="64">
                  <c:v>1985</c:v>
                </c:pt>
                <c:pt idx="65">
                  <c:v>1986</c:v>
                </c:pt>
                <c:pt idx="66">
                  <c:v>1987</c:v>
                </c:pt>
                <c:pt idx="67">
                  <c:v>1988</c:v>
                </c:pt>
                <c:pt idx="68">
                  <c:v>1989</c:v>
                </c:pt>
                <c:pt idx="69">
                  <c:v>1990</c:v>
                </c:pt>
                <c:pt idx="70">
                  <c:v>1991</c:v>
                </c:pt>
                <c:pt idx="71">
                  <c:v>1992</c:v>
                </c:pt>
                <c:pt idx="72">
                  <c:v>1993</c:v>
                </c:pt>
                <c:pt idx="73">
                  <c:v>1994</c:v>
                </c:pt>
                <c:pt idx="74">
                  <c:v>1995</c:v>
                </c:pt>
                <c:pt idx="75">
                  <c:v>1996</c:v>
                </c:pt>
                <c:pt idx="76">
                  <c:v>1997</c:v>
                </c:pt>
                <c:pt idx="77">
                  <c:v>1998</c:v>
                </c:pt>
                <c:pt idx="78">
                  <c:v>1999</c:v>
                </c:pt>
                <c:pt idx="79">
                  <c:v>2000</c:v>
                </c:pt>
                <c:pt idx="80">
                  <c:v>2001</c:v>
                </c:pt>
                <c:pt idx="81">
                  <c:v>2002</c:v>
                </c:pt>
                <c:pt idx="82">
                  <c:v>2003</c:v>
                </c:pt>
              </c:strCache>
            </c:strRef>
          </c:cat>
          <c:val>
            <c:numRef>
              <c:f>'ALL 2019 Pivot Tables'!$C$43:$C$126</c:f>
              <c:numCache>
                <c:formatCode>0.00%</c:formatCode>
                <c:ptCount val="83"/>
                <c:pt idx="0">
                  <c:v>1.2315270935960591E-3</c:v>
                </c:pt>
                <c:pt idx="1">
                  <c:v>2.4630541871921183E-3</c:v>
                </c:pt>
                <c:pt idx="2">
                  <c:v>1.2315270935960591E-3</c:v>
                </c:pt>
                <c:pt idx="3">
                  <c:v>2.4630541871921183E-3</c:v>
                </c:pt>
                <c:pt idx="4">
                  <c:v>6.1576354679802959E-3</c:v>
                </c:pt>
                <c:pt idx="5">
                  <c:v>1.2315270935960592E-2</c:v>
                </c:pt>
                <c:pt idx="6">
                  <c:v>9.852216748768473E-3</c:v>
                </c:pt>
                <c:pt idx="7">
                  <c:v>1.1083743842364532E-2</c:v>
                </c:pt>
                <c:pt idx="8">
                  <c:v>6.1576354679802959E-3</c:v>
                </c:pt>
                <c:pt idx="9">
                  <c:v>1.2315270935960592E-2</c:v>
                </c:pt>
                <c:pt idx="10">
                  <c:v>2.3399014778325122E-2</c:v>
                </c:pt>
                <c:pt idx="11">
                  <c:v>2.0935960591133004E-2</c:v>
                </c:pt>
                <c:pt idx="12">
                  <c:v>1.9704433497536946E-2</c:v>
                </c:pt>
                <c:pt idx="13">
                  <c:v>1.9704433497536946E-2</c:v>
                </c:pt>
                <c:pt idx="14">
                  <c:v>2.0935960591133004E-2</c:v>
                </c:pt>
                <c:pt idx="15">
                  <c:v>1.9704433497536946E-2</c:v>
                </c:pt>
                <c:pt idx="16">
                  <c:v>2.0935960591133004E-2</c:v>
                </c:pt>
                <c:pt idx="17">
                  <c:v>2.0935960591133004E-2</c:v>
                </c:pt>
                <c:pt idx="18">
                  <c:v>1.8472906403940888E-2</c:v>
                </c:pt>
                <c:pt idx="19">
                  <c:v>2.7093596059113302E-2</c:v>
                </c:pt>
                <c:pt idx="20">
                  <c:v>1.9704433497536946E-2</c:v>
                </c:pt>
                <c:pt idx="21">
                  <c:v>1.9704433497536946E-2</c:v>
                </c:pt>
                <c:pt idx="22">
                  <c:v>1.9704433497536946E-2</c:v>
                </c:pt>
                <c:pt idx="23">
                  <c:v>1.3546798029556651E-2</c:v>
                </c:pt>
                <c:pt idx="24">
                  <c:v>1.1083743842364532E-2</c:v>
                </c:pt>
                <c:pt idx="25">
                  <c:v>1.1083743842364532E-2</c:v>
                </c:pt>
                <c:pt idx="26">
                  <c:v>2.2167487684729065E-2</c:v>
                </c:pt>
                <c:pt idx="27">
                  <c:v>2.4630541871921183E-2</c:v>
                </c:pt>
                <c:pt idx="28">
                  <c:v>1.1083743842364532E-2</c:v>
                </c:pt>
                <c:pt idx="29">
                  <c:v>1.2315270935960592E-2</c:v>
                </c:pt>
                <c:pt idx="30">
                  <c:v>1.4778325123152709E-2</c:v>
                </c:pt>
                <c:pt idx="31">
                  <c:v>7.3891625615763543E-3</c:v>
                </c:pt>
                <c:pt idx="32">
                  <c:v>1.2315270935960592E-2</c:v>
                </c:pt>
                <c:pt idx="33">
                  <c:v>1.7241379310344827E-2</c:v>
                </c:pt>
                <c:pt idx="34">
                  <c:v>6.1576354679802959E-3</c:v>
                </c:pt>
                <c:pt idx="35">
                  <c:v>9.852216748768473E-3</c:v>
                </c:pt>
                <c:pt idx="36">
                  <c:v>7.3891625615763543E-3</c:v>
                </c:pt>
                <c:pt idx="37">
                  <c:v>9.852216748768473E-3</c:v>
                </c:pt>
                <c:pt idx="38">
                  <c:v>9.852216748768473E-3</c:v>
                </c:pt>
                <c:pt idx="39">
                  <c:v>1.3546798029556651E-2</c:v>
                </c:pt>
                <c:pt idx="40">
                  <c:v>8.6206896551724137E-3</c:v>
                </c:pt>
                <c:pt idx="41">
                  <c:v>9.852216748768473E-3</c:v>
                </c:pt>
                <c:pt idx="42">
                  <c:v>4.9261083743842365E-3</c:v>
                </c:pt>
                <c:pt idx="43">
                  <c:v>1.2315270935960592E-2</c:v>
                </c:pt>
                <c:pt idx="44">
                  <c:v>6.1576354679802959E-3</c:v>
                </c:pt>
                <c:pt idx="45">
                  <c:v>3.6945812807881772E-3</c:v>
                </c:pt>
                <c:pt idx="46">
                  <c:v>4.9261083743842365E-3</c:v>
                </c:pt>
                <c:pt idx="47">
                  <c:v>6.1576354679802959E-3</c:v>
                </c:pt>
                <c:pt idx="48">
                  <c:v>8.6206896551724137E-3</c:v>
                </c:pt>
                <c:pt idx="49">
                  <c:v>6.1576354679802959E-3</c:v>
                </c:pt>
                <c:pt idx="50">
                  <c:v>9.852216748768473E-3</c:v>
                </c:pt>
                <c:pt idx="51">
                  <c:v>3.6945812807881772E-3</c:v>
                </c:pt>
                <c:pt idx="52">
                  <c:v>1.2315270935960591E-3</c:v>
                </c:pt>
                <c:pt idx="53">
                  <c:v>6.1576354679802959E-3</c:v>
                </c:pt>
                <c:pt idx="54">
                  <c:v>3.6945812807881772E-3</c:v>
                </c:pt>
                <c:pt idx="55">
                  <c:v>3.6945812807881772E-3</c:v>
                </c:pt>
                <c:pt idx="56">
                  <c:v>1.2315270935960591E-3</c:v>
                </c:pt>
                <c:pt idx="57">
                  <c:v>2.4630541871921183E-3</c:v>
                </c:pt>
                <c:pt idx="58">
                  <c:v>1.2315270935960591E-3</c:v>
                </c:pt>
                <c:pt idx="59">
                  <c:v>3.6945812807881772E-3</c:v>
                </c:pt>
                <c:pt idx="60">
                  <c:v>3.6945812807881772E-3</c:v>
                </c:pt>
                <c:pt idx="61">
                  <c:v>2.4630541871921183E-3</c:v>
                </c:pt>
                <c:pt idx="62">
                  <c:v>2.4630541871921183E-3</c:v>
                </c:pt>
                <c:pt idx="63">
                  <c:v>4.9261083743842365E-3</c:v>
                </c:pt>
                <c:pt idx="64">
                  <c:v>9.852216748768473E-3</c:v>
                </c:pt>
                <c:pt idx="65">
                  <c:v>6.1576354679802959E-3</c:v>
                </c:pt>
                <c:pt idx="66">
                  <c:v>6.1576354679802959E-3</c:v>
                </c:pt>
                <c:pt idx="67">
                  <c:v>7.3891625615763543E-3</c:v>
                </c:pt>
                <c:pt idx="68">
                  <c:v>3.6945812807881772E-3</c:v>
                </c:pt>
                <c:pt idx="69">
                  <c:v>3.6945812807881772E-3</c:v>
                </c:pt>
                <c:pt idx="70">
                  <c:v>7.3891625615763543E-3</c:v>
                </c:pt>
                <c:pt idx="71">
                  <c:v>1.2315270935960592E-2</c:v>
                </c:pt>
                <c:pt idx="72">
                  <c:v>7.3891625615763543E-3</c:v>
                </c:pt>
                <c:pt idx="73">
                  <c:v>1.2315270935960591E-3</c:v>
                </c:pt>
                <c:pt idx="74">
                  <c:v>8.6206896551724137E-3</c:v>
                </c:pt>
                <c:pt idx="75">
                  <c:v>1.2315270935960592E-2</c:v>
                </c:pt>
                <c:pt idx="76">
                  <c:v>4.9261083743842365E-3</c:v>
                </c:pt>
                <c:pt idx="77">
                  <c:v>1.1083743842364532E-2</c:v>
                </c:pt>
                <c:pt idx="78">
                  <c:v>1.7241379310344827E-2</c:v>
                </c:pt>
                <c:pt idx="79">
                  <c:v>2.9556650246305417E-2</c:v>
                </c:pt>
                <c:pt idx="80">
                  <c:v>0.16009852216748768</c:v>
                </c:pt>
                <c:pt idx="81">
                  <c:v>1.7241379310344827E-2</c:v>
                </c:pt>
                <c:pt idx="82">
                  <c:v>1.2315270935960591E-3</c:v>
                </c:pt>
              </c:numCache>
            </c:numRef>
          </c:val>
          <c:extLst>
            <c:ext xmlns:c16="http://schemas.microsoft.com/office/drawing/2014/chart" uri="{C3380CC4-5D6E-409C-BE32-E72D297353CC}">
              <c16:uniqueId val="{00000001-691A-4782-B655-F1FD5BCDDB60}"/>
            </c:ext>
          </c:extLst>
        </c:ser>
        <c:dLbls>
          <c:showLegendKey val="0"/>
          <c:showVal val="0"/>
          <c:showCatName val="0"/>
          <c:showSerName val="0"/>
          <c:showPercent val="0"/>
          <c:showBubbleSize val="0"/>
        </c:dLbls>
        <c:gapWidth val="100"/>
        <c:axId val="2014238783"/>
        <c:axId val="1810564783"/>
      </c:barChart>
      <c:catAx>
        <c:axId val="2014238783"/>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Birth Year of Respondent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0564783"/>
        <c:crosses val="autoZero"/>
        <c:auto val="1"/>
        <c:lblAlgn val="ctr"/>
        <c:lblOffset val="100"/>
        <c:noMultiLvlLbl val="0"/>
      </c:catAx>
      <c:valAx>
        <c:axId val="1810564783"/>
        <c:scaling>
          <c:orientation val="minMax"/>
          <c:max val="135"/>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Petitions Filed</a:t>
                </a:r>
              </a:p>
            </c:rich>
          </c:tx>
          <c:layout>
            <c:manualLayout>
              <c:xMode val="edge"/>
              <c:yMode val="edge"/>
              <c:x val="0.25054510469149555"/>
              <c:y val="0.95214545056867894"/>
            </c:manualLayout>
          </c:layout>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4238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Word]ALL 2020 Pivot Tables!PivotTable21</c:name>
    <c:fmtId val="-1"/>
  </c:pivotSource>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2020</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manualLayout>
          <c:layoutTarget val="inner"/>
          <c:xMode val="edge"/>
          <c:yMode val="edge"/>
          <c:x val="0.28617920348380887"/>
          <c:y val="9.3246719160105004E-2"/>
          <c:w val="0.63182722738435815"/>
          <c:h val="0.81213932633420827"/>
        </c:manualLayout>
      </c:layout>
      <c:barChart>
        <c:barDir val="bar"/>
        <c:grouping val="clustered"/>
        <c:varyColors val="0"/>
        <c:ser>
          <c:idx val="0"/>
          <c:order val="0"/>
          <c:tx>
            <c:strRef>
              <c:f>'ALL 2020 Pivot Tables'!$B$37</c:f>
              <c:strCache>
                <c:ptCount val="1"/>
                <c:pt idx="0">
                  <c:v>Count of Year of birth of Respondent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2020 Pivot Tables'!$A$38:$A$118</c:f>
              <c:strCache>
                <c:ptCount val="80"/>
                <c:pt idx="0">
                  <c:v>1918</c:v>
                </c:pt>
                <c:pt idx="1">
                  <c:v>1920</c:v>
                </c:pt>
                <c:pt idx="2">
                  <c:v>1923</c:v>
                </c:pt>
                <c:pt idx="3">
                  <c:v>1924</c:v>
                </c:pt>
                <c:pt idx="4">
                  <c:v>1925</c:v>
                </c:pt>
                <c:pt idx="5">
                  <c:v>1926</c:v>
                </c:pt>
                <c:pt idx="6">
                  <c:v>1927</c:v>
                </c:pt>
                <c:pt idx="7">
                  <c:v>1928</c:v>
                </c:pt>
                <c:pt idx="8">
                  <c:v>1929</c:v>
                </c:pt>
                <c:pt idx="9">
                  <c:v>1930</c:v>
                </c:pt>
                <c:pt idx="10">
                  <c:v>1931</c:v>
                </c:pt>
                <c:pt idx="11">
                  <c:v>1932</c:v>
                </c:pt>
                <c:pt idx="12">
                  <c:v>1933</c:v>
                </c:pt>
                <c:pt idx="13">
                  <c:v>1934</c:v>
                </c:pt>
                <c:pt idx="14">
                  <c:v>1935</c:v>
                </c:pt>
                <c:pt idx="15">
                  <c:v>1936</c:v>
                </c:pt>
                <c:pt idx="16">
                  <c:v>1937</c:v>
                </c:pt>
                <c:pt idx="17">
                  <c:v>1938</c:v>
                </c:pt>
                <c:pt idx="18">
                  <c:v>1939</c:v>
                </c:pt>
                <c:pt idx="19">
                  <c:v>1940</c:v>
                </c:pt>
                <c:pt idx="20">
                  <c:v>1941</c:v>
                </c:pt>
                <c:pt idx="21">
                  <c:v>1942</c:v>
                </c:pt>
                <c:pt idx="22">
                  <c:v>1943</c:v>
                </c:pt>
                <c:pt idx="23">
                  <c:v>1944</c:v>
                </c:pt>
                <c:pt idx="24">
                  <c:v>1945</c:v>
                </c:pt>
                <c:pt idx="25">
                  <c:v>1946</c:v>
                </c:pt>
                <c:pt idx="26">
                  <c:v>1947</c:v>
                </c:pt>
                <c:pt idx="27">
                  <c:v>1948</c:v>
                </c:pt>
                <c:pt idx="28">
                  <c:v>1949</c:v>
                </c:pt>
                <c:pt idx="29">
                  <c:v>1950</c:v>
                </c:pt>
                <c:pt idx="30">
                  <c:v>1951</c:v>
                </c:pt>
                <c:pt idx="31">
                  <c:v>1952</c:v>
                </c:pt>
                <c:pt idx="32">
                  <c:v>1953</c:v>
                </c:pt>
                <c:pt idx="33">
                  <c:v>1954</c:v>
                </c:pt>
                <c:pt idx="34">
                  <c:v>1955</c:v>
                </c:pt>
                <c:pt idx="35">
                  <c:v>1956</c:v>
                </c:pt>
                <c:pt idx="36">
                  <c:v>1957</c:v>
                </c:pt>
                <c:pt idx="37">
                  <c:v>1958</c:v>
                </c:pt>
                <c:pt idx="38">
                  <c:v>1959</c:v>
                </c:pt>
                <c:pt idx="39">
                  <c:v>1960</c:v>
                </c:pt>
                <c:pt idx="40">
                  <c:v>1961</c:v>
                </c:pt>
                <c:pt idx="41">
                  <c:v>1962</c:v>
                </c:pt>
                <c:pt idx="42">
                  <c:v>1963</c:v>
                </c:pt>
                <c:pt idx="43">
                  <c:v>1964</c:v>
                </c:pt>
                <c:pt idx="44">
                  <c:v>1965</c:v>
                </c:pt>
                <c:pt idx="45">
                  <c:v>1966</c:v>
                </c:pt>
                <c:pt idx="46">
                  <c:v>1967</c:v>
                </c:pt>
                <c:pt idx="47">
                  <c:v>1968</c:v>
                </c:pt>
                <c:pt idx="48">
                  <c:v>1969</c:v>
                </c:pt>
                <c:pt idx="49">
                  <c:v>1970</c:v>
                </c:pt>
                <c:pt idx="50">
                  <c:v>1971</c:v>
                </c:pt>
                <c:pt idx="51">
                  <c:v>1972</c:v>
                </c:pt>
                <c:pt idx="52">
                  <c:v>1973</c:v>
                </c:pt>
                <c:pt idx="53">
                  <c:v>1974</c:v>
                </c:pt>
                <c:pt idx="54">
                  <c:v>1975</c:v>
                </c:pt>
                <c:pt idx="55">
                  <c:v>1977</c:v>
                </c:pt>
                <c:pt idx="56">
                  <c:v>1978</c:v>
                </c:pt>
                <c:pt idx="57">
                  <c:v>1980</c:v>
                </c:pt>
                <c:pt idx="58">
                  <c:v>1981</c:v>
                </c:pt>
                <c:pt idx="59">
                  <c:v>1983</c:v>
                </c:pt>
                <c:pt idx="60">
                  <c:v>1984</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strCache>
            </c:strRef>
          </c:cat>
          <c:val>
            <c:numRef>
              <c:f>'ALL 2020 Pivot Tables'!$B$38:$B$118</c:f>
              <c:numCache>
                <c:formatCode>General</c:formatCode>
                <c:ptCount val="80"/>
                <c:pt idx="0">
                  <c:v>1</c:v>
                </c:pt>
                <c:pt idx="1">
                  <c:v>1</c:v>
                </c:pt>
                <c:pt idx="2">
                  <c:v>1</c:v>
                </c:pt>
                <c:pt idx="3">
                  <c:v>4</c:v>
                </c:pt>
                <c:pt idx="4">
                  <c:v>1</c:v>
                </c:pt>
                <c:pt idx="5">
                  <c:v>2</c:v>
                </c:pt>
                <c:pt idx="6">
                  <c:v>5</c:v>
                </c:pt>
                <c:pt idx="7">
                  <c:v>6</c:v>
                </c:pt>
                <c:pt idx="8">
                  <c:v>3</c:v>
                </c:pt>
                <c:pt idx="9">
                  <c:v>5</c:v>
                </c:pt>
                <c:pt idx="10">
                  <c:v>12</c:v>
                </c:pt>
                <c:pt idx="11">
                  <c:v>7</c:v>
                </c:pt>
                <c:pt idx="12">
                  <c:v>12</c:v>
                </c:pt>
                <c:pt idx="13">
                  <c:v>6</c:v>
                </c:pt>
                <c:pt idx="14">
                  <c:v>12</c:v>
                </c:pt>
                <c:pt idx="15">
                  <c:v>11</c:v>
                </c:pt>
                <c:pt idx="16">
                  <c:v>12</c:v>
                </c:pt>
                <c:pt idx="17">
                  <c:v>18</c:v>
                </c:pt>
                <c:pt idx="18">
                  <c:v>22</c:v>
                </c:pt>
                <c:pt idx="19">
                  <c:v>17</c:v>
                </c:pt>
                <c:pt idx="20">
                  <c:v>12</c:v>
                </c:pt>
                <c:pt idx="21">
                  <c:v>23</c:v>
                </c:pt>
                <c:pt idx="22">
                  <c:v>23</c:v>
                </c:pt>
                <c:pt idx="23">
                  <c:v>20</c:v>
                </c:pt>
                <c:pt idx="24">
                  <c:v>11</c:v>
                </c:pt>
                <c:pt idx="25">
                  <c:v>7</c:v>
                </c:pt>
                <c:pt idx="26">
                  <c:v>19</c:v>
                </c:pt>
                <c:pt idx="27">
                  <c:v>7</c:v>
                </c:pt>
                <c:pt idx="28">
                  <c:v>8</c:v>
                </c:pt>
                <c:pt idx="29">
                  <c:v>11</c:v>
                </c:pt>
                <c:pt idx="30">
                  <c:v>11</c:v>
                </c:pt>
                <c:pt idx="31">
                  <c:v>11</c:v>
                </c:pt>
                <c:pt idx="32">
                  <c:v>14</c:v>
                </c:pt>
                <c:pt idx="33">
                  <c:v>5</c:v>
                </c:pt>
                <c:pt idx="34">
                  <c:v>7</c:v>
                </c:pt>
                <c:pt idx="35">
                  <c:v>3</c:v>
                </c:pt>
                <c:pt idx="36">
                  <c:v>10</c:v>
                </c:pt>
                <c:pt idx="37">
                  <c:v>8</c:v>
                </c:pt>
                <c:pt idx="38">
                  <c:v>10</c:v>
                </c:pt>
                <c:pt idx="39">
                  <c:v>6</c:v>
                </c:pt>
                <c:pt idx="40">
                  <c:v>11</c:v>
                </c:pt>
                <c:pt idx="41">
                  <c:v>6</c:v>
                </c:pt>
                <c:pt idx="42">
                  <c:v>6</c:v>
                </c:pt>
                <c:pt idx="43">
                  <c:v>8</c:v>
                </c:pt>
                <c:pt idx="44">
                  <c:v>5</c:v>
                </c:pt>
                <c:pt idx="45">
                  <c:v>2</c:v>
                </c:pt>
                <c:pt idx="46">
                  <c:v>4</c:v>
                </c:pt>
                <c:pt idx="47">
                  <c:v>6</c:v>
                </c:pt>
                <c:pt idx="48">
                  <c:v>4</c:v>
                </c:pt>
                <c:pt idx="49">
                  <c:v>3</c:v>
                </c:pt>
                <c:pt idx="50">
                  <c:v>3</c:v>
                </c:pt>
                <c:pt idx="51">
                  <c:v>2</c:v>
                </c:pt>
                <c:pt idx="52">
                  <c:v>1</c:v>
                </c:pt>
                <c:pt idx="53">
                  <c:v>1</c:v>
                </c:pt>
                <c:pt idx="54">
                  <c:v>1</c:v>
                </c:pt>
                <c:pt idx="55">
                  <c:v>2</c:v>
                </c:pt>
                <c:pt idx="56">
                  <c:v>2</c:v>
                </c:pt>
                <c:pt idx="57">
                  <c:v>2</c:v>
                </c:pt>
                <c:pt idx="58">
                  <c:v>5</c:v>
                </c:pt>
                <c:pt idx="59">
                  <c:v>3</c:v>
                </c:pt>
                <c:pt idx="60">
                  <c:v>7</c:v>
                </c:pt>
                <c:pt idx="61">
                  <c:v>1</c:v>
                </c:pt>
                <c:pt idx="62">
                  <c:v>1</c:v>
                </c:pt>
                <c:pt idx="63">
                  <c:v>3</c:v>
                </c:pt>
                <c:pt idx="64">
                  <c:v>2</c:v>
                </c:pt>
                <c:pt idx="65">
                  <c:v>3</c:v>
                </c:pt>
                <c:pt idx="66">
                  <c:v>3</c:v>
                </c:pt>
                <c:pt idx="67">
                  <c:v>3</c:v>
                </c:pt>
                <c:pt idx="68">
                  <c:v>2</c:v>
                </c:pt>
                <c:pt idx="69">
                  <c:v>4</c:v>
                </c:pt>
                <c:pt idx="70">
                  <c:v>4</c:v>
                </c:pt>
                <c:pt idx="71">
                  <c:v>7</c:v>
                </c:pt>
                <c:pt idx="72">
                  <c:v>3</c:v>
                </c:pt>
                <c:pt idx="73">
                  <c:v>3</c:v>
                </c:pt>
                <c:pt idx="74">
                  <c:v>3</c:v>
                </c:pt>
                <c:pt idx="75">
                  <c:v>4</c:v>
                </c:pt>
                <c:pt idx="76">
                  <c:v>7</c:v>
                </c:pt>
                <c:pt idx="77">
                  <c:v>13</c:v>
                </c:pt>
                <c:pt idx="78">
                  <c:v>109</c:v>
                </c:pt>
                <c:pt idx="79">
                  <c:v>23</c:v>
                </c:pt>
              </c:numCache>
            </c:numRef>
          </c:val>
          <c:extLst>
            <c:ext xmlns:c16="http://schemas.microsoft.com/office/drawing/2014/chart" uri="{C3380CC4-5D6E-409C-BE32-E72D297353CC}">
              <c16:uniqueId val="{00000000-EEC4-4012-836C-76D13DDB8FD3}"/>
            </c:ext>
          </c:extLst>
        </c:ser>
        <c:ser>
          <c:idx val="1"/>
          <c:order val="1"/>
          <c:tx>
            <c:strRef>
              <c:f>'ALL 2020 Pivot Tables'!$C$37</c:f>
              <c:strCache>
                <c:ptCount val="1"/>
                <c:pt idx="0">
                  <c:v>Count of Year of birth of Respondent2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2020 Pivot Tables'!$A$38:$A$118</c:f>
              <c:strCache>
                <c:ptCount val="80"/>
                <c:pt idx="0">
                  <c:v>1918</c:v>
                </c:pt>
                <c:pt idx="1">
                  <c:v>1920</c:v>
                </c:pt>
                <c:pt idx="2">
                  <c:v>1923</c:v>
                </c:pt>
                <c:pt idx="3">
                  <c:v>1924</c:v>
                </c:pt>
                <c:pt idx="4">
                  <c:v>1925</c:v>
                </c:pt>
                <c:pt idx="5">
                  <c:v>1926</c:v>
                </c:pt>
                <c:pt idx="6">
                  <c:v>1927</c:v>
                </c:pt>
                <c:pt idx="7">
                  <c:v>1928</c:v>
                </c:pt>
                <c:pt idx="8">
                  <c:v>1929</c:v>
                </c:pt>
                <c:pt idx="9">
                  <c:v>1930</c:v>
                </c:pt>
                <c:pt idx="10">
                  <c:v>1931</c:v>
                </c:pt>
                <c:pt idx="11">
                  <c:v>1932</c:v>
                </c:pt>
                <c:pt idx="12">
                  <c:v>1933</c:v>
                </c:pt>
                <c:pt idx="13">
                  <c:v>1934</c:v>
                </c:pt>
                <c:pt idx="14">
                  <c:v>1935</c:v>
                </c:pt>
                <c:pt idx="15">
                  <c:v>1936</c:v>
                </c:pt>
                <c:pt idx="16">
                  <c:v>1937</c:v>
                </c:pt>
                <c:pt idx="17">
                  <c:v>1938</c:v>
                </c:pt>
                <c:pt idx="18">
                  <c:v>1939</c:v>
                </c:pt>
                <c:pt idx="19">
                  <c:v>1940</c:v>
                </c:pt>
                <c:pt idx="20">
                  <c:v>1941</c:v>
                </c:pt>
                <c:pt idx="21">
                  <c:v>1942</c:v>
                </c:pt>
                <c:pt idx="22">
                  <c:v>1943</c:v>
                </c:pt>
                <c:pt idx="23">
                  <c:v>1944</c:v>
                </c:pt>
                <c:pt idx="24">
                  <c:v>1945</c:v>
                </c:pt>
                <c:pt idx="25">
                  <c:v>1946</c:v>
                </c:pt>
                <c:pt idx="26">
                  <c:v>1947</c:v>
                </c:pt>
                <c:pt idx="27">
                  <c:v>1948</c:v>
                </c:pt>
                <c:pt idx="28">
                  <c:v>1949</c:v>
                </c:pt>
                <c:pt idx="29">
                  <c:v>1950</c:v>
                </c:pt>
                <c:pt idx="30">
                  <c:v>1951</c:v>
                </c:pt>
                <c:pt idx="31">
                  <c:v>1952</c:v>
                </c:pt>
                <c:pt idx="32">
                  <c:v>1953</c:v>
                </c:pt>
                <c:pt idx="33">
                  <c:v>1954</c:v>
                </c:pt>
                <c:pt idx="34">
                  <c:v>1955</c:v>
                </c:pt>
                <c:pt idx="35">
                  <c:v>1956</c:v>
                </c:pt>
                <c:pt idx="36">
                  <c:v>1957</c:v>
                </c:pt>
                <c:pt idx="37">
                  <c:v>1958</c:v>
                </c:pt>
                <c:pt idx="38">
                  <c:v>1959</c:v>
                </c:pt>
                <c:pt idx="39">
                  <c:v>1960</c:v>
                </c:pt>
                <c:pt idx="40">
                  <c:v>1961</c:v>
                </c:pt>
                <c:pt idx="41">
                  <c:v>1962</c:v>
                </c:pt>
                <c:pt idx="42">
                  <c:v>1963</c:v>
                </c:pt>
                <c:pt idx="43">
                  <c:v>1964</c:v>
                </c:pt>
                <c:pt idx="44">
                  <c:v>1965</c:v>
                </c:pt>
                <c:pt idx="45">
                  <c:v>1966</c:v>
                </c:pt>
                <c:pt idx="46">
                  <c:v>1967</c:v>
                </c:pt>
                <c:pt idx="47">
                  <c:v>1968</c:v>
                </c:pt>
                <c:pt idx="48">
                  <c:v>1969</c:v>
                </c:pt>
                <c:pt idx="49">
                  <c:v>1970</c:v>
                </c:pt>
                <c:pt idx="50">
                  <c:v>1971</c:v>
                </c:pt>
                <c:pt idx="51">
                  <c:v>1972</c:v>
                </c:pt>
                <c:pt idx="52">
                  <c:v>1973</c:v>
                </c:pt>
                <c:pt idx="53">
                  <c:v>1974</c:v>
                </c:pt>
                <c:pt idx="54">
                  <c:v>1975</c:v>
                </c:pt>
                <c:pt idx="55">
                  <c:v>1977</c:v>
                </c:pt>
                <c:pt idx="56">
                  <c:v>1978</c:v>
                </c:pt>
                <c:pt idx="57">
                  <c:v>1980</c:v>
                </c:pt>
                <c:pt idx="58">
                  <c:v>1981</c:v>
                </c:pt>
                <c:pt idx="59">
                  <c:v>1983</c:v>
                </c:pt>
                <c:pt idx="60">
                  <c:v>1984</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strCache>
            </c:strRef>
          </c:cat>
          <c:val>
            <c:numRef>
              <c:f>'ALL 2020 Pivot Tables'!$C$38:$C$118</c:f>
              <c:numCache>
                <c:formatCode>0.00%</c:formatCode>
                <c:ptCount val="80"/>
                <c:pt idx="0">
                  <c:v>1.5015015015015015E-3</c:v>
                </c:pt>
                <c:pt idx="1">
                  <c:v>1.5015015015015015E-3</c:v>
                </c:pt>
                <c:pt idx="2">
                  <c:v>1.5015015015015015E-3</c:v>
                </c:pt>
                <c:pt idx="3">
                  <c:v>6.006006006006006E-3</c:v>
                </c:pt>
                <c:pt idx="4">
                  <c:v>1.5015015015015015E-3</c:v>
                </c:pt>
                <c:pt idx="5">
                  <c:v>3.003003003003003E-3</c:v>
                </c:pt>
                <c:pt idx="6">
                  <c:v>7.5075075075075074E-3</c:v>
                </c:pt>
                <c:pt idx="7">
                  <c:v>9.0090090090090089E-3</c:v>
                </c:pt>
                <c:pt idx="8">
                  <c:v>4.5045045045045045E-3</c:v>
                </c:pt>
                <c:pt idx="9">
                  <c:v>7.5075075075075074E-3</c:v>
                </c:pt>
                <c:pt idx="10">
                  <c:v>1.8018018018018018E-2</c:v>
                </c:pt>
                <c:pt idx="11">
                  <c:v>1.0510510510510511E-2</c:v>
                </c:pt>
                <c:pt idx="12">
                  <c:v>1.8018018018018018E-2</c:v>
                </c:pt>
                <c:pt idx="13">
                  <c:v>9.0090090090090089E-3</c:v>
                </c:pt>
                <c:pt idx="14">
                  <c:v>1.8018018018018018E-2</c:v>
                </c:pt>
                <c:pt idx="15">
                  <c:v>1.6516516516516516E-2</c:v>
                </c:pt>
                <c:pt idx="16">
                  <c:v>1.8018018018018018E-2</c:v>
                </c:pt>
                <c:pt idx="17">
                  <c:v>2.7027027027027029E-2</c:v>
                </c:pt>
                <c:pt idx="18">
                  <c:v>3.3033033033033031E-2</c:v>
                </c:pt>
                <c:pt idx="19">
                  <c:v>2.5525525525525526E-2</c:v>
                </c:pt>
                <c:pt idx="20">
                  <c:v>1.8018018018018018E-2</c:v>
                </c:pt>
                <c:pt idx="21">
                  <c:v>3.4534534534534533E-2</c:v>
                </c:pt>
                <c:pt idx="22">
                  <c:v>3.4534534534534533E-2</c:v>
                </c:pt>
                <c:pt idx="23">
                  <c:v>3.003003003003003E-2</c:v>
                </c:pt>
                <c:pt idx="24">
                  <c:v>1.6516516516516516E-2</c:v>
                </c:pt>
                <c:pt idx="25">
                  <c:v>1.0510510510510511E-2</c:v>
                </c:pt>
                <c:pt idx="26">
                  <c:v>2.8528528528528527E-2</c:v>
                </c:pt>
                <c:pt idx="27">
                  <c:v>1.0510510510510511E-2</c:v>
                </c:pt>
                <c:pt idx="28">
                  <c:v>1.2012012012012012E-2</c:v>
                </c:pt>
                <c:pt idx="29">
                  <c:v>1.6516516516516516E-2</c:v>
                </c:pt>
                <c:pt idx="30">
                  <c:v>1.6516516516516516E-2</c:v>
                </c:pt>
                <c:pt idx="31">
                  <c:v>1.6516516516516516E-2</c:v>
                </c:pt>
                <c:pt idx="32">
                  <c:v>2.1021021021021023E-2</c:v>
                </c:pt>
                <c:pt idx="33">
                  <c:v>7.5075075075075074E-3</c:v>
                </c:pt>
                <c:pt idx="34">
                  <c:v>1.0510510510510511E-2</c:v>
                </c:pt>
                <c:pt idx="35">
                  <c:v>4.5045045045045045E-3</c:v>
                </c:pt>
                <c:pt idx="36">
                  <c:v>1.5015015015015015E-2</c:v>
                </c:pt>
                <c:pt idx="37">
                  <c:v>1.2012012012012012E-2</c:v>
                </c:pt>
                <c:pt idx="38">
                  <c:v>1.5015015015015015E-2</c:v>
                </c:pt>
                <c:pt idx="39">
                  <c:v>9.0090090090090089E-3</c:v>
                </c:pt>
                <c:pt idx="40">
                  <c:v>1.6516516516516516E-2</c:v>
                </c:pt>
                <c:pt idx="41">
                  <c:v>9.0090090090090089E-3</c:v>
                </c:pt>
                <c:pt idx="42">
                  <c:v>9.0090090090090089E-3</c:v>
                </c:pt>
                <c:pt idx="43">
                  <c:v>1.2012012012012012E-2</c:v>
                </c:pt>
                <c:pt idx="44">
                  <c:v>7.5075075075075074E-3</c:v>
                </c:pt>
                <c:pt idx="45">
                  <c:v>3.003003003003003E-3</c:v>
                </c:pt>
                <c:pt idx="46">
                  <c:v>6.006006006006006E-3</c:v>
                </c:pt>
                <c:pt idx="47">
                  <c:v>9.0090090090090089E-3</c:v>
                </c:pt>
                <c:pt idx="48">
                  <c:v>6.006006006006006E-3</c:v>
                </c:pt>
                <c:pt idx="49">
                  <c:v>4.5045045045045045E-3</c:v>
                </c:pt>
                <c:pt idx="50">
                  <c:v>4.5045045045045045E-3</c:v>
                </c:pt>
                <c:pt idx="51">
                  <c:v>3.003003003003003E-3</c:v>
                </c:pt>
                <c:pt idx="52">
                  <c:v>1.5015015015015015E-3</c:v>
                </c:pt>
                <c:pt idx="53">
                  <c:v>1.5015015015015015E-3</c:v>
                </c:pt>
                <c:pt idx="54">
                  <c:v>1.5015015015015015E-3</c:v>
                </c:pt>
                <c:pt idx="55">
                  <c:v>3.003003003003003E-3</c:v>
                </c:pt>
                <c:pt idx="56">
                  <c:v>3.003003003003003E-3</c:v>
                </c:pt>
                <c:pt idx="57">
                  <c:v>3.003003003003003E-3</c:v>
                </c:pt>
                <c:pt idx="58">
                  <c:v>7.5075075075075074E-3</c:v>
                </c:pt>
                <c:pt idx="59">
                  <c:v>4.5045045045045045E-3</c:v>
                </c:pt>
                <c:pt idx="60">
                  <c:v>1.0510510510510511E-2</c:v>
                </c:pt>
                <c:pt idx="61">
                  <c:v>1.5015015015015015E-3</c:v>
                </c:pt>
                <c:pt idx="62">
                  <c:v>1.5015015015015015E-3</c:v>
                </c:pt>
                <c:pt idx="63">
                  <c:v>4.5045045045045045E-3</c:v>
                </c:pt>
                <c:pt idx="64">
                  <c:v>3.003003003003003E-3</c:v>
                </c:pt>
                <c:pt idx="65">
                  <c:v>4.5045045045045045E-3</c:v>
                </c:pt>
                <c:pt idx="66">
                  <c:v>4.5045045045045045E-3</c:v>
                </c:pt>
                <c:pt idx="67">
                  <c:v>4.5045045045045045E-3</c:v>
                </c:pt>
                <c:pt idx="68">
                  <c:v>3.003003003003003E-3</c:v>
                </c:pt>
                <c:pt idx="69">
                  <c:v>6.006006006006006E-3</c:v>
                </c:pt>
                <c:pt idx="70">
                  <c:v>6.006006006006006E-3</c:v>
                </c:pt>
                <c:pt idx="71">
                  <c:v>1.0510510510510511E-2</c:v>
                </c:pt>
                <c:pt idx="72">
                  <c:v>4.5045045045045045E-3</c:v>
                </c:pt>
                <c:pt idx="73">
                  <c:v>4.5045045045045045E-3</c:v>
                </c:pt>
                <c:pt idx="74">
                  <c:v>4.5045045045045045E-3</c:v>
                </c:pt>
                <c:pt idx="75">
                  <c:v>6.006006006006006E-3</c:v>
                </c:pt>
                <c:pt idx="76">
                  <c:v>1.0510510510510511E-2</c:v>
                </c:pt>
                <c:pt idx="77">
                  <c:v>1.951951951951952E-2</c:v>
                </c:pt>
                <c:pt idx="78">
                  <c:v>0.16366366366366367</c:v>
                </c:pt>
                <c:pt idx="79">
                  <c:v>3.4534534534534533E-2</c:v>
                </c:pt>
              </c:numCache>
            </c:numRef>
          </c:val>
          <c:extLst>
            <c:ext xmlns:c16="http://schemas.microsoft.com/office/drawing/2014/chart" uri="{C3380CC4-5D6E-409C-BE32-E72D297353CC}">
              <c16:uniqueId val="{00000001-EEC4-4012-836C-76D13DDB8FD3}"/>
            </c:ext>
          </c:extLst>
        </c:ser>
        <c:dLbls>
          <c:showLegendKey val="0"/>
          <c:showVal val="0"/>
          <c:showCatName val="0"/>
          <c:showSerName val="0"/>
          <c:showPercent val="0"/>
          <c:showBubbleSize val="0"/>
        </c:dLbls>
        <c:gapWidth val="100"/>
        <c:axId val="1182040768"/>
        <c:axId val="1108018992"/>
      </c:barChart>
      <c:catAx>
        <c:axId val="1182040768"/>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Birth Year of Respondent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8018992"/>
        <c:crosses val="autoZero"/>
        <c:auto val="1"/>
        <c:lblAlgn val="ctr"/>
        <c:lblOffset val="100"/>
        <c:noMultiLvlLbl val="0"/>
      </c:catAx>
      <c:valAx>
        <c:axId val="1108018992"/>
        <c:scaling>
          <c:orientation val="minMax"/>
          <c:max val="110"/>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Petitions Filed</a:t>
                </a:r>
              </a:p>
            </c:rich>
          </c:tx>
          <c:layout>
            <c:manualLayout>
              <c:xMode val="edge"/>
              <c:yMode val="edge"/>
              <c:x val="0.26688659898220118"/>
              <c:y val="0.94746084864391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204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[Guardianship Data 2021 COMPLETE.xlsx]ALL 2021 Pivot Tables!PivotTable10</c:name>
    <c:fmtId val="-1"/>
  </c:pivotSource>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manualLayout>
          <c:layoutTarget val="inner"/>
          <c:xMode val="edge"/>
          <c:yMode val="edge"/>
          <c:x val="0.30205382687292703"/>
          <c:y val="9.6394794400699924E-2"/>
          <c:w val="0.6159526039952401"/>
          <c:h val="0.80699628171478577"/>
        </c:manualLayout>
      </c:layout>
      <c:barChart>
        <c:barDir val="bar"/>
        <c:grouping val="clustered"/>
        <c:varyColors val="0"/>
        <c:ser>
          <c:idx val="0"/>
          <c:order val="0"/>
          <c:tx>
            <c:strRef>
              <c:f>'ALL 2021 Pivot Tables'!$B$40</c:f>
              <c:strCache>
                <c:ptCount val="1"/>
                <c:pt idx="0">
                  <c:v>Count of Year of birth of Respondent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2021 Pivot Tables'!$A$41:$A$122</c:f>
              <c:strCache>
                <c:ptCount val="81"/>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pt idx="80">
                  <c:v>2004</c:v>
                </c:pt>
              </c:strCache>
            </c:strRef>
          </c:cat>
          <c:val>
            <c:numRef>
              <c:f>'ALL 2021 Pivot Tables'!$B$41:$B$122</c:f>
              <c:numCache>
                <c:formatCode>General</c:formatCode>
                <c:ptCount val="81"/>
                <c:pt idx="0">
                  <c:v>1</c:v>
                </c:pt>
                <c:pt idx="1">
                  <c:v>1</c:v>
                </c:pt>
                <c:pt idx="2">
                  <c:v>2</c:v>
                </c:pt>
                <c:pt idx="3">
                  <c:v>1</c:v>
                </c:pt>
                <c:pt idx="4">
                  <c:v>5</c:v>
                </c:pt>
                <c:pt idx="5">
                  <c:v>6</c:v>
                </c:pt>
                <c:pt idx="6">
                  <c:v>4</c:v>
                </c:pt>
                <c:pt idx="7">
                  <c:v>9</c:v>
                </c:pt>
                <c:pt idx="8">
                  <c:v>12</c:v>
                </c:pt>
                <c:pt idx="9">
                  <c:v>12</c:v>
                </c:pt>
                <c:pt idx="10">
                  <c:v>12</c:v>
                </c:pt>
                <c:pt idx="11">
                  <c:v>14</c:v>
                </c:pt>
                <c:pt idx="12">
                  <c:v>22</c:v>
                </c:pt>
                <c:pt idx="13">
                  <c:v>15</c:v>
                </c:pt>
                <c:pt idx="14">
                  <c:v>18</c:v>
                </c:pt>
                <c:pt idx="15">
                  <c:v>12</c:v>
                </c:pt>
                <c:pt idx="16">
                  <c:v>8</c:v>
                </c:pt>
                <c:pt idx="17">
                  <c:v>12</c:v>
                </c:pt>
                <c:pt idx="18">
                  <c:v>17</c:v>
                </c:pt>
                <c:pt idx="19">
                  <c:v>19</c:v>
                </c:pt>
                <c:pt idx="20">
                  <c:v>22</c:v>
                </c:pt>
                <c:pt idx="21">
                  <c:v>8</c:v>
                </c:pt>
                <c:pt idx="22">
                  <c:v>10</c:v>
                </c:pt>
                <c:pt idx="23">
                  <c:v>14</c:v>
                </c:pt>
                <c:pt idx="24">
                  <c:v>28</c:v>
                </c:pt>
                <c:pt idx="25">
                  <c:v>17</c:v>
                </c:pt>
                <c:pt idx="26">
                  <c:v>21</c:v>
                </c:pt>
                <c:pt idx="27">
                  <c:v>15</c:v>
                </c:pt>
                <c:pt idx="28">
                  <c:v>13</c:v>
                </c:pt>
                <c:pt idx="29">
                  <c:v>18</c:v>
                </c:pt>
                <c:pt idx="30">
                  <c:v>20</c:v>
                </c:pt>
                <c:pt idx="31">
                  <c:v>6</c:v>
                </c:pt>
                <c:pt idx="32">
                  <c:v>12</c:v>
                </c:pt>
                <c:pt idx="33">
                  <c:v>13</c:v>
                </c:pt>
                <c:pt idx="34">
                  <c:v>13</c:v>
                </c:pt>
                <c:pt idx="35">
                  <c:v>9</c:v>
                </c:pt>
                <c:pt idx="36">
                  <c:v>11</c:v>
                </c:pt>
                <c:pt idx="37">
                  <c:v>16</c:v>
                </c:pt>
                <c:pt idx="38">
                  <c:v>10</c:v>
                </c:pt>
                <c:pt idx="39">
                  <c:v>6</c:v>
                </c:pt>
                <c:pt idx="40">
                  <c:v>3</c:v>
                </c:pt>
                <c:pt idx="41">
                  <c:v>7</c:v>
                </c:pt>
                <c:pt idx="42">
                  <c:v>5</c:v>
                </c:pt>
                <c:pt idx="43">
                  <c:v>2</c:v>
                </c:pt>
                <c:pt idx="44">
                  <c:v>7</c:v>
                </c:pt>
                <c:pt idx="45">
                  <c:v>5</c:v>
                </c:pt>
                <c:pt idx="46">
                  <c:v>5</c:v>
                </c:pt>
                <c:pt idx="47">
                  <c:v>1</c:v>
                </c:pt>
                <c:pt idx="48">
                  <c:v>1</c:v>
                </c:pt>
                <c:pt idx="49">
                  <c:v>5</c:v>
                </c:pt>
                <c:pt idx="50">
                  <c:v>6</c:v>
                </c:pt>
                <c:pt idx="51">
                  <c:v>3</c:v>
                </c:pt>
                <c:pt idx="52">
                  <c:v>2</c:v>
                </c:pt>
                <c:pt idx="53">
                  <c:v>1</c:v>
                </c:pt>
                <c:pt idx="54">
                  <c:v>6</c:v>
                </c:pt>
                <c:pt idx="55">
                  <c:v>6</c:v>
                </c:pt>
                <c:pt idx="56">
                  <c:v>1</c:v>
                </c:pt>
                <c:pt idx="57">
                  <c:v>7</c:v>
                </c:pt>
                <c:pt idx="58">
                  <c:v>4</c:v>
                </c:pt>
                <c:pt idx="59">
                  <c:v>1</c:v>
                </c:pt>
                <c:pt idx="60">
                  <c:v>5</c:v>
                </c:pt>
                <c:pt idx="61">
                  <c:v>7</c:v>
                </c:pt>
                <c:pt idx="62">
                  <c:v>2</c:v>
                </c:pt>
                <c:pt idx="63">
                  <c:v>5</c:v>
                </c:pt>
                <c:pt idx="64">
                  <c:v>1</c:v>
                </c:pt>
                <c:pt idx="65">
                  <c:v>4</c:v>
                </c:pt>
                <c:pt idx="66">
                  <c:v>2</c:v>
                </c:pt>
                <c:pt idx="67">
                  <c:v>2</c:v>
                </c:pt>
                <c:pt idx="68">
                  <c:v>4</c:v>
                </c:pt>
                <c:pt idx="69">
                  <c:v>5</c:v>
                </c:pt>
                <c:pt idx="70">
                  <c:v>2</c:v>
                </c:pt>
                <c:pt idx="71">
                  <c:v>2</c:v>
                </c:pt>
                <c:pt idx="72">
                  <c:v>4</c:v>
                </c:pt>
                <c:pt idx="73">
                  <c:v>5</c:v>
                </c:pt>
                <c:pt idx="74">
                  <c:v>8</c:v>
                </c:pt>
                <c:pt idx="75">
                  <c:v>5</c:v>
                </c:pt>
                <c:pt idx="76">
                  <c:v>4</c:v>
                </c:pt>
                <c:pt idx="77">
                  <c:v>13</c:v>
                </c:pt>
                <c:pt idx="78">
                  <c:v>25</c:v>
                </c:pt>
                <c:pt idx="79">
                  <c:v>141</c:v>
                </c:pt>
                <c:pt idx="80">
                  <c:v>28</c:v>
                </c:pt>
              </c:numCache>
            </c:numRef>
          </c:val>
          <c:extLst>
            <c:ext xmlns:c16="http://schemas.microsoft.com/office/drawing/2014/chart" uri="{C3380CC4-5D6E-409C-BE32-E72D297353CC}">
              <c16:uniqueId val="{00000000-51AF-4B53-8C97-0CCBABAD37EA}"/>
            </c:ext>
          </c:extLst>
        </c:ser>
        <c:ser>
          <c:idx val="1"/>
          <c:order val="1"/>
          <c:tx>
            <c:strRef>
              <c:f>'ALL 2021 Pivot Tables'!$C$40</c:f>
              <c:strCache>
                <c:ptCount val="1"/>
                <c:pt idx="0">
                  <c:v>Count of Year of birth of Respondent2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'ALL 2021 Pivot Tables'!$A$41:$A$122</c:f>
              <c:strCache>
                <c:ptCount val="81"/>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pt idx="80">
                  <c:v>2004</c:v>
                </c:pt>
              </c:strCache>
            </c:strRef>
          </c:cat>
          <c:val>
            <c:numRef>
              <c:f>'ALL 2021 Pivot Tables'!$C$41:$C$122</c:f>
              <c:numCache>
                <c:formatCode>0.00%</c:formatCode>
                <c:ptCount val="81"/>
                <c:pt idx="0">
                  <c:v>1.1961722488038277E-3</c:v>
                </c:pt>
                <c:pt idx="1">
                  <c:v>1.1961722488038277E-3</c:v>
                </c:pt>
                <c:pt idx="2">
                  <c:v>2.3923444976076554E-3</c:v>
                </c:pt>
                <c:pt idx="3">
                  <c:v>1.1961722488038277E-3</c:v>
                </c:pt>
                <c:pt idx="4">
                  <c:v>5.9808612440191387E-3</c:v>
                </c:pt>
                <c:pt idx="5">
                  <c:v>7.1770334928229667E-3</c:v>
                </c:pt>
                <c:pt idx="6">
                  <c:v>4.7846889952153108E-3</c:v>
                </c:pt>
                <c:pt idx="7">
                  <c:v>1.076555023923445E-2</c:v>
                </c:pt>
                <c:pt idx="8">
                  <c:v>1.4354066985645933E-2</c:v>
                </c:pt>
                <c:pt idx="9">
                  <c:v>1.4354066985645933E-2</c:v>
                </c:pt>
                <c:pt idx="10">
                  <c:v>1.4354066985645933E-2</c:v>
                </c:pt>
                <c:pt idx="11">
                  <c:v>1.6746411483253589E-2</c:v>
                </c:pt>
                <c:pt idx="12">
                  <c:v>2.6315789473684209E-2</c:v>
                </c:pt>
                <c:pt idx="13">
                  <c:v>1.7942583732057416E-2</c:v>
                </c:pt>
                <c:pt idx="14">
                  <c:v>2.1531100478468901E-2</c:v>
                </c:pt>
                <c:pt idx="15">
                  <c:v>1.4354066985645933E-2</c:v>
                </c:pt>
                <c:pt idx="16">
                  <c:v>9.5693779904306216E-3</c:v>
                </c:pt>
                <c:pt idx="17">
                  <c:v>1.4354066985645933E-2</c:v>
                </c:pt>
                <c:pt idx="18">
                  <c:v>2.033492822966507E-2</c:v>
                </c:pt>
                <c:pt idx="19">
                  <c:v>2.2727272727272728E-2</c:v>
                </c:pt>
                <c:pt idx="20">
                  <c:v>2.6315789473684209E-2</c:v>
                </c:pt>
                <c:pt idx="21">
                  <c:v>9.5693779904306216E-3</c:v>
                </c:pt>
                <c:pt idx="22">
                  <c:v>1.1961722488038277E-2</c:v>
                </c:pt>
                <c:pt idx="23">
                  <c:v>1.6746411483253589E-2</c:v>
                </c:pt>
                <c:pt idx="24">
                  <c:v>3.3492822966507178E-2</c:v>
                </c:pt>
                <c:pt idx="25">
                  <c:v>2.033492822966507E-2</c:v>
                </c:pt>
                <c:pt idx="26">
                  <c:v>2.5119617224880382E-2</c:v>
                </c:pt>
                <c:pt idx="27">
                  <c:v>1.7942583732057416E-2</c:v>
                </c:pt>
                <c:pt idx="28">
                  <c:v>1.555023923444976E-2</c:v>
                </c:pt>
                <c:pt idx="29">
                  <c:v>2.1531100478468901E-2</c:v>
                </c:pt>
                <c:pt idx="30">
                  <c:v>2.3923444976076555E-2</c:v>
                </c:pt>
                <c:pt idx="31">
                  <c:v>7.1770334928229667E-3</c:v>
                </c:pt>
                <c:pt idx="32">
                  <c:v>1.4354066985645933E-2</c:v>
                </c:pt>
                <c:pt idx="33">
                  <c:v>1.555023923444976E-2</c:v>
                </c:pt>
                <c:pt idx="34">
                  <c:v>1.555023923444976E-2</c:v>
                </c:pt>
                <c:pt idx="35">
                  <c:v>1.076555023923445E-2</c:v>
                </c:pt>
                <c:pt idx="36">
                  <c:v>1.3157894736842105E-2</c:v>
                </c:pt>
                <c:pt idx="37">
                  <c:v>1.9138755980861243E-2</c:v>
                </c:pt>
                <c:pt idx="38">
                  <c:v>1.1961722488038277E-2</c:v>
                </c:pt>
                <c:pt idx="39">
                  <c:v>7.1770334928229667E-3</c:v>
                </c:pt>
                <c:pt idx="40">
                  <c:v>3.5885167464114833E-3</c:v>
                </c:pt>
                <c:pt idx="41">
                  <c:v>8.3732057416267946E-3</c:v>
                </c:pt>
                <c:pt idx="42">
                  <c:v>5.9808612440191387E-3</c:v>
                </c:pt>
                <c:pt idx="43">
                  <c:v>2.3923444976076554E-3</c:v>
                </c:pt>
                <c:pt idx="44">
                  <c:v>8.3732057416267946E-3</c:v>
                </c:pt>
                <c:pt idx="45">
                  <c:v>5.9808612440191387E-3</c:v>
                </c:pt>
                <c:pt idx="46">
                  <c:v>5.9808612440191387E-3</c:v>
                </c:pt>
                <c:pt idx="47">
                  <c:v>1.1961722488038277E-3</c:v>
                </c:pt>
                <c:pt idx="48">
                  <c:v>1.1961722488038277E-3</c:v>
                </c:pt>
                <c:pt idx="49">
                  <c:v>5.9808612440191387E-3</c:v>
                </c:pt>
                <c:pt idx="50">
                  <c:v>7.1770334928229667E-3</c:v>
                </c:pt>
                <c:pt idx="51">
                  <c:v>3.5885167464114833E-3</c:v>
                </c:pt>
                <c:pt idx="52">
                  <c:v>2.3923444976076554E-3</c:v>
                </c:pt>
                <c:pt idx="53">
                  <c:v>1.1961722488038277E-3</c:v>
                </c:pt>
                <c:pt idx="54">
                  <c:v>7.1770334928229667E-3</c:v>
                </c:pt>
                <c:pt idx="55">
                  <c:v>7.1770334928229667E-3</c:v>
                </c:pt>
                <c:pt idx="56">
                  <c:v>1.1961722488038277E-3</c:v>
                </c:pt>
                <c:pt idx="57">
                  <c:v>8.3732057416267946E-3</c:v>
                </c:pt>
                <c:pt idx="58">
                  <c:v>4.7846889952153108E-3</c:v>
                </c:pt>
                <c:pt idx="59">
                  <c:v>1.1961722488038277E-3</c:v>
                </c:pt>
                <c:pt idx="60">
                  <c:v>5.9808612440191387E-3</c:v>
                </c:pt>
                <c:pt idx="61">
                  <c:v>8.3732057416267946E-3</c:v>
                </c:pt>
                <c:pt idx="62">
                  <c:v>2.3923444976076554E-3</c:v>
                </c:pt>
                <c:pt idx="63">
                  <c:v>5.9808612440191387E-3</c:v>
                </c:pt>
                <c:pt idx="64">
                  <c:v>1.1961722488038277E-3</c:v>
                </c:pt>
                <c:pt idx="65">
                  <c:v>4.7846889952153108E-3</c:v>
                </c:pt>
                <c:pt idx="66">
                  <c:v>2.3923444976076554E-3</c:v>
                </c:pt>
                <c:pt idx="67">
                  <c:v>2.3923444976076554E-3</c:v>
                </c:pt>
                <c:pt idx="68">
                  <c:v>4.7846889952153108E-3</c:v>
                </c:pt>
                <c:pt idx="69">
                  <c:v>5.9808612440191387E-3</c:v>
                </c:pt>
                <c:pt idx="70">
                  <c:v>2.3923444976076554E-3</c:v>
                </c:pt>
                <c:pt idx="71">
                  <c:v>2.3923444976076554E-3</c:v>
                </c:pt>
                <c:pt idx="72">
                  <c:v>4.7846889952153108E-3</c:v>
                </c:pt>
                <c:pt idx="73">
                  <c:v>5.9808612440191387E-3</c:v>
                </c:pt>
                <c:pt idx="74">
                  <c:v>9.5693779904306216E-3</c:v>
                </c:pt>
                <c:pt idx="75">
                  <c:v>5.9808612440191387E-3</c:v>
                </c:pt>
                <c:pt idx="76">
                  <c:v>4.7846889952153108E-3</c:v>
                </c:pt>
                <c:pt idx="77">
                  <c:v>1.555023923444976E-2</c:v>
                </c:pt>
                <c:pt idx="78">
                  <c:v>2.9904306220095694E-2</c:v>
                </c:pt>
                <c:pt idx="79">
                  <c:v>0.1686602870813397</c:v>
                </c:pt>
                <c:pt idx="80">
                  <c:v>3.3492822966507178E-2</c:v>
                </c:pt>
              </c:numCache>
            </c:numRef>
          </c:val>
          <c:extLst>
            <c:ext xmlns:c16="http://schemas.microsoft.com/office/drawing/2014/chart" uri="{C3380CC4-5D6E-409C-BE32-E72D297353CC}">
              <c16:uniqueId val="{00000001-51AF-4B53-8C97-0CCBABAD37EA}"/>
            </c:ext>
          </c:extLst>
        </c:ser>
        <c:dLbls>
          <c:showLegendKey val="0"/>
          <c:showVal val="0"/>
          <c:showCatName val="0"/>
          <c:showSerName val="0"/>
          <c:showPercent val="0"/>
          <c:showBubbleSize val="0"/>
        </c:dLbls>
        <c:gapWidth val="100"/>
        <c:axId val="1437063744"/>
        <c:axId val="1446824112"/>
      </c:barChart>
      <c:catAx>
        <c:axId val="1437063744"/>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Birth Year of Respondent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6824112"/>
        <c:crosses val="autoZero"/>
        <c:auto val="1"/>
        <c:lblAlgn val="ctr"/>
        <c:lblOffset val="100"/>
        <c:noMultiLvlLbl val="0"/>
      </c:catAx>
      <c:valAx>
        <c:axId val="1446824112"/>
        <c:scaling>
          <c:orientation val="minMax"/>
          <c:max val="145"/>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Petitions Filed</a:t>
                </a:r>
              </a:p>
            </c:rich>
          </c:tx>
          <c:layout>
            <c:manualLayout>
              <c:xMode val="edge"/>
              <c:yMode val="edge"/>
              <c:x val="0.27633035420411672"/>
              <c:y val="0.945436351706036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706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7.5499999999999998E-2</c:v>
                </c:pt>
                <c:pt idx="1">
                  <c:v>0.1724</c:v>
                </c:pt>
                <c:pt idx="2">
                  <c:v>0.28799999999999998</c:v>
                </c:pt>
                <c:pt idx="3">
                  <c:v>0.3</c:v>
                </c:pt>
                <c:pt idx="4">
                  <c:v>0.28570000000000001</c:v>
                </c:pt>
                <c:pt idx="5">
                  <c:v>0.31459999999999999</c:v>
                </c:pt>
                <c:pt idx="6">
                  <c:v>0.26319999999999999</c:v>
                </c:pt>
                <c:pt idx="7">
                  <c:v>0</c:v>
                </c:pt>
                <c:pt idx="8">
                  <c:v>0.15</c:v>
                </c:pt>
                <c:pt idx="9">
                  <c:v>0.1812</c:v>
                </c:pt>
                <c:pt idx="10">
                  <c:v>0</c:v>
                </c:pt>
                <c:pt idx="11">
                  <c:v>8.3299999999999999E-2</c:v>
                </c:pt>
                <c:pt idx="12">
                  <c:v>0.1714</c:v>
                </c:pt>
                <c:pt idx="13">
                  <c:v>0.15790000000000001</c:v>
                </c:pt>
                <c:pt idx="14">
                  <c:v>0.24</c:v>
                </c:pt>
                <c:pt idx="15">
                  <c:v>0.23530000000000001</c:v>
                </c:pt>
              </c:numCache>
            </c:numRef>
          </c:val>
          <c:extLst>
            <c:ext xmlns:c16="http://schemas.microsoft.com/office/drawing/2014/chart" uri="{C3380CC4-5D6E-409C-BE32-E72D297353CC}">
              <c16:uniqueId val="{00000000-B1FE-4122-8C90-A6E747E428CC}"/>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0.16220000000000001</c:v>
                </c:pt>
                <c:pt idx="1">
                  <c:v>8.6999999999999994E-2</c:v>
                </c:pt>
                <c:pt idx="2">
                  <c:v>0.32029999999999997</c:v>
                </c:pt>
                <c:pt idx="3">
                  <c:v>0.3</c:v>
                </c:pt>
                <c:pt idx="4">
                  <c:v>0.36670000000000003</c:v>
                </c:pt>
                <c:pt idx="5">
                  <c:v>0.28070000000000001</c:v>
                </c:pt>
                <c:pt idx="6">
                  <c:v>0.17649999999999999</c:v>
                </c:pt>
                <c:pt idx="7">
                  <c:v>0.4</c:v>
                </c:pt>
                <c:pt idx="8">
                  <c:v>3.6999999999999998E-2</c:v>
                </c:pt>
                <c:pt idx="9">
                  <c:v>0.3493</c:v>
                </c:pt>
                <c:pt idx="10">
                  <c:v>0.23080000000000001</c:v>
                </c:pt>
                <c:pt idx="11">
                  <c:v>0</c:v>
                </c:pt>
                <c:pt idx="12">
                  <c:v>5.8799999999999998E-2</c:v>
                </c:pt>
                <c:pt idx="13">
                  <c:v>0.3478</c:v>
                </c:pt>
                <c:pt idx="14">
                  <c:v>0.21049999999999999</c:v>
                </c:pt>
                <c:pt idx="15">
                  <c:v>0.19439999999999999</c:v>
                </c:pt>
              </c:numCache>
            </c:numRef>
          </c:val>
          <c:extLst>
            <c:ext xmlns:c16="http://schemas.microsoft.com/office/drawing/2014/chart" uri="{C3380CC4-5D6E-409C-BE32-E72D297353CC}">
              <c16:uniqueId val="{00000000-872B-49FE-B9EE-D07FFF34BA12}"/>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0.16980000000000001</c:v>
                </c:pt>
                <c:pt idx="1">
                  <c:v>0.1429</c:v>
                </c:pt>
                <c:pt idx="2">
                  <c:v>0.30370000000000003</c:v>
                </c:pt>
                <c:pt idx="3">
                  <c:v>4.7600000000000003E-2</c:v>
                </c:pt>
                <c:pt idx="4">
                  <c:v>0.14810000000000001</c:v>
                </c:pt>
                <c:pt idx="5">
                  <c:v>0.33329999999999999</c:v>
                </c:pt>
                <c:pt idx="6">
                  <c:v>0.375</c:v>
                </c:pt>
                <c:pt idx="7">
                  <c:v>0.38100000000000001</c:v>
                </c:pt>
                <c:pt idx="8">
                  <c:v>0.22500000000000001</c:v>
                </c:pt>
                <c:pt idx="9">
                  <c:v>0.29220000000000002</c:v>
                </c:pt>
                <c:pt idx="10">
                  <c:v>0.1333</c:v>
                </c:pt>
                <c:pt idx="11">
                  <c:v>0.2727</c:v>
                </c:pt>
                <c:pt idx="12">
                  <c:v>2.7E-2</c:v>
                </c:pt>
                <c:pt idx="13">
                  <c:v>0.32140000000000002</c:v>
                </c:pt>
                <c:pt idx="14">
                  <c:v>0.24</c:v>
                </c:pt>
                <c:pt idx="15">
                  <c:v>0.31180000000000002</c:v>
                </c:pt>
              </c:numCache>
            </c:numRef>
          </c:val>
          <c:extLst>
            <c:ext xmlns:c16="http://schemas.microsoft.com/office/drawing/2014/chart" uri="{C3380CC4-5D6E-409C-BE32-E72D297353CC}">
              <c16:uniqueId val="{00000000-386A-4638-A87D-2A947DD1B236}"/>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5108688337034796E-2"/>
          <c:y val="0.16055363321799304"/>
          <c:w val="0.89925028602193946"/>
          <c:h val="0.64931368008064738"/>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0.83020000000000005</c:v>
                </c:pt>
                <c:pt idx="1">
                  <c:v>0.6552</c:v>
                </c:pt>
                <c:pt idx="2">
                  <c:v>0.65759999999999996</c:v>
                </c:pt>
                <c:pt idx="3">
                  <c:v>0.7</c:v>
                </c:pt>
                <c:pt idx="4">
                  <c:v>0.71430000000000005</c:v>
                </c:pt>
                <c:pt idx="5">
                  <c:v>0.82020000000000004</c:v>
                </c:pt>
                <c:pt idx="6">
                  <c:v>1</c:v>
                </c:pt>
                <c:pt idx="7">
                  <c:v>1</c:v>
                </c:pt>
                <c:pt idx="8">
                  <c:v>0.72499999999999998</c:v>
                </c:pt>
                <c:pt idx="9">
                  <c:v>0.77539999999999998</c:v>
                </c:pt>
                <c:pt idx="10">
                  <c:v>0.83330000000000004</c:v>
                </c:pt>
                <c:pt idx="11">
                  <c:v>0.66669999999999996</c:v>
                </c:pt>
                <c:pt idx="12">
                  <c:v>0.7429</c:v>
                </c:pt>
                <c:pt idx="13">
                  <c:v>0.84209999999999996</c:v>
                </c:pt>
                <c:pt idx="14">
                  <c:v>0.84</c:v>
                </c:pt>
                <c:pt idx="15">
                  <c:v>0.84309999999999996</c:v>
                </c:pt>
              </c:numCache>
            </c:numRef>
          </c:val>
          <c:extLst>
            <c:ext xmlns:c16="http://schemas.microsoft.com/office/drawing/2014/chart" uri="{C3380CC4-5D6E-409C-BE32-E72D297353CC}">
              <c16:uniqueId val="{00000000-8889-4660-B434-D94B4A7D7D3D}"/>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5108688337034796E-2"/>
          <c:y val="0.16055363321799304"/>
          <c:w val="0.89925028602193946"/>
          <c:h val="0.64931368008064738"/>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8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0.81079999999999997</c:v>
                </c:pt>
                <c:pt idx="1">
                  <c:v>0.95650000000000002</c:v>
                </c:pt>
                <c:pt idx="2">
                  <c:v>0.70589999999999997</c:v>
                </c:pt>
                <c:pt idx="3">
                  <c:v>0.7</c:v>
                </c:pt>
                <c:pt idx="4">
                  <c:v>0.83330000000000004</c:v>
                </c:pt>
                <c:pt idx="5">
                  <c:v>0.80700000000000005</c:v>
                </c:pt>
                <c:pt idx="6">
                  <c:v>0.94120000000000004</c:v>
                </c:pt>
                <c:pt idx="7">
                  <c:v>0.8</c:v>
                </c:pt>
                <c:pt idx="8">
                  <c:v>0.77780000000000005</c:v>
                </c:pt>
                <c:pt idx="9">
                  <c:v>0.7379</c:v>
                </c:pt>
                <c:pt idx="10">
                  <c:v>1</c:v>
                </c:pt>
                <c:pt idx="11">
                  <c:v>0.5</c:v>
                </c:pt>
                <c:pt idx="12">
                  <c:v>0.76470000000000005</c:v>
                </c:pt>
                <c:pt idx="13">
                  <c:v>0.95650000000000002</c:v>
                </c:pt>
                <c:pt idx="14">
                  <c:v>0.84209999999999996</c:v>
                </c:pt>
                <c:pt idx="15">
                  <c:v>0.84719999999999995</c:v>
                </c:pt>
              </c:numCache>
            </c:numRef>
          </c:val>
          <c:extLst>
            <c:ext xmlns:c16="http://schemas.microsoft.com/office/drawing/2014/chart" uri="{C3380CC4-5D6E-409C-BE32-E72D297353CC}">
              <c16:uniqueId val="{00000000-D372-4983-8425-1E541B2CDC76}"/>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Representation of All Respondents </a:t>
            </a:r>
            <a:r>
              <a:rPr lang="en-US" sz="1400">
                <a:latin typeface="Times New Roman" panose="02020603050405020304" pitchFamily="18" charset="0"/>
                <a:cs typeface="Times New Roman" panose="02020603050405020304" pitchFamily="18" charset="0"/>
              </a:rPr>
              <a:t>- 2020</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D6-4023-8ED4-9B2427DB7C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D6-4023-8ED4-9B2427DB7C0B}"/>
              </c:ext>
            </c:extLst>
          </c:dPt>
          <c:dLbls>
            <c:dLbl>
              <c:idx val="0"/>
              <c:layout>
                <c:manualLayout>
                  <c:x val="-0.28299162123965271"/>
                  <c:y val="-0.18145553496989361"/>
                </c:manualLayout>
              </c:layout>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Unrepresented</a:t>
                    </a:r>
                    <a:r>
                      <a:rPr lang="en-US" baseline="0"/>
                      <a:t>
</a:t>
                    </a:r>
                    <a:fld id="{217D9F81-FAE9-4F57-AD88-DE6DD8B87A95}"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31192307692307686"/>
                      <c:h val="0.15318627450980393"/>
                    </c:manualLayout>
                  </c15:layout>
                  <c15:dlblFieldTable/>
                  <c15:showDataLabelsRange val="0"/>
                </c:ext>
                <c:ext xmlns:c16="http://schemas.microsoft.com/office/drawing/2014/chart" uri="{C3380CC4-5D6E-409C-BE32-E72D297353CC}">
                  <c16:uniqueId val="{00000001-78D6-4023-8ED4-9B2427DB7C0B}"/>
                </c:ext>
              </c:extLst>
            </c:dLbl>
            <c:dLbl>
              <c:idx val="1"/>
              <c:layout>
                <c:manualLayout>
                  <c:x val="0.19730903829329027"/>
                  <c:y val="0.18878869461170295"/>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1C95FFEF-9DA0-4D3D-81C1-627C2B2C7E10}"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781310989972406"/>
                      <c:h val="0.13176624980700941"/>
                    </c:manualLayout>
                  </c15:layout>
                  <c15:dlblFieldTable/>
                  <c15:showDataLabelsRange val="0"/>
                </c:ext>
                <c:ext xmlns:c16="http://schemas.microsoft.com/office/drawing/2014/chart" uri="{C3380CC4-5D6E-409C-BE32-E72D297353CC}">
                  <c16:uniqueId val="{00000003-78D6-4023-8ED4-9B2427DB7C0B}"/>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0.73050000000000004</c:v>
                </c:pt>
                <c:pt idx="1">
                  <c:v>0.26950000000000002</c:v>
                </c:pt>
              </c:numCache>
            </c:numRef>
          </c:val>
          <c:extLst>
            <c:ext xmlns:c16="http://schemas.microsoft.com/office/drawing/2014/chart" uri="{C3380CC4-5D6E-409C-BE32-E72D297353CC}">
              <c16:uniqueId val="{00000004-78D6-4023-8ED4-9B2427DB7C0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5108688337034796E-2"/>
          <c:y val="0.16055363321799304"/>
          <c:w val="0.89925028602193946"/>
          <c:h val="0.64931368008064738"/>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8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Sheet1!$B$2:$B$17</c:f>
              <c:numCache>
                <c:formatCode>0.00%</c:formatCode>
                <c:ptCount val="16"/>
                <c:pt idx="0">
                  <c:v>0.8679</c:v>
                </c:pt>
                <c:pt idx="1">
                  <c:v>0.73809999999999998</c:v>
                </c:pt>
                <c:pt idx="2">
                  <c:v>0.76959999999999995</c:v>
                </c:pt>
                <c:pt idx="3">
                  <c:v>0.95240000000000002</c:v>
                </c:pt>
                <c:pt idx="4">
                  <c:v>0.85189999999999999</c:v>
                </c:pt>
                <c:pt idx="5">
                  <c:v>0.70669999999999999</c:v>
                </c:pt>
                <c:pt idx="6">
                  <c:v>0.9375</c:v>
                </c:pt>
                <c:pt idx="7">
                  <c:v>0.8095</c:v>
                </c:pt>
                <c:pt idx="8">
                  <c:v>0.8</c:v>
                </c:pt>
                <c:pt idx="9">
                  <c:v>0.76619999999999999</c:v>
                </c:pt>
                <c:pt idx="10">
                  <c:v>0.73329999999999995</c:v>
                </c:pt>
                <c:pt idx="11">
                  <c:v>0.63639999999999997</c:v>
                </c:pt>
                <c:pt idx="12">
                  <c:v>0.62160000000000004</c:v>
                </c:pt>
                <c:pt idx="13">
                  <c:v>0.67859999999999998</c:v>
                </c:pt>
                <c:pt idx="14">
                  <c:v>0.56000000000000005</c:v>
                </c:pt>
                <c:pt idx="15">
                  <c:v>0.7419</c:v>
                </c:pt>
              </c:numCache>
            </c:numRef>
          </c:val>
          <c:extLst>
            <c:ext xmlns:c16="http://schemas.microsoft.com/office/drawing/2014/chart" uri="{C3380CC4-5D6E-409C-BE32-E72D297353CC}">
              <c16:uniqueId val="{00000000-EFBA-4E8B-859A-6CCD5F903A94}"/>
            </c:ext>
          </c:extLst>
        </c:ser>
        <c:dLbls>
          <c:showLegendKey val="0"/>
          <c:showVal val="1"/>
          <c:showCatName val="0"/>
          <c:showSerName val="0"/>
          <c:showPercent val="0"/>
          <c:showBubbleSize val="0"/>
        </c:dLbls>
        <c:gapWidth val="100"/>
        <c:overlap val="-24"/>
        <c:axId val="909510208"/>
        <c:axId val="693363856"/>
      </c:barChart>
      <c:catAx>
        <c:axId val="9095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93363856"/>
        <c:crosses val="autoZero"/>
        <c:auto val="1"/>
        <c:lblAlgn val="ctr"/>
        <c:lblOffset val="100"/>
        <c:noMultiLvlLbl val="0"/>
      </c:catAx>
      <c:valAx>
        <c:axId val="69336385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095102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Representation of</a:t>
            </a:r>
            <a:r>
              <a:rPr lang="en-US" sz="1400" baseline="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Respondents</a:t>
            </a:r>
            <a:r>
              <a:rPr lang="en-US" sz="1400" baseline="0">
                <a:latin typeface="Times New Roman" panose="02020603050405020304" pitchFamily="18" charset="0"/>
                <a:cs typeface="Times New Roman" panose="02020603050405020304" pitchFamily="18" charset="0"/>
              </a:rPr>
              <a:t> w/ DD </a:t>
            </a:r>
            <a:r>
              <a:rPr lang="en-US" sz="1400">
                <a:latin typeface="Times New Roman" panose="02020603050405020304" pitchFamily="18" charset="0"/>
                <a:cs typeface="Times New Roman" panose="02020603050405020304" pitchFamily="18" charset="0"/>
              </a:rPr>
              <a:t>- 2020</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50-410E-830E-4D304AE4F04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50-410E-830E-4D304AE4F044}"/>
              </c:ext>
            </c:extLst>
          </c:dPt>
          <c:dLbls>
            <c:dLbl>
              <c:idx val="0"/>
              <c:layout>
                <c:manualLayout>
                  <c:x val="-3.9177618572918863E-2"/>
                  <c:y val="-0.18648643952648281"/>
                </c:manualLayout>
              </c:layout>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Unrepresented</a:t>
                    </a:r>
                    <a:r>
                      <a:rPr lang="en-US" baseline="0"/>
                      <a:t>
</a:t>
                    </a:r>
                    <a:fld id="{4D7C33AF-39E1-4A68-9001-1439D37DD65B}"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33816505358705157"/>
                      <c:h val="0.15331139673717256"/>
                    </c:manualLayout>
                  </c15:layout>
                  <c15:dlblFieldTable/>
                  <c15:showDataLabelsRange val="0"/>
                </c:ext>
                <c:ext xmlns:c16="http://schemas.microsoft.com/office/drawing/2014/chart" uri="{C3380CC4-5D6E-409C-BE32-E72D297353CC}">
                  <c16:uniqueId val="{00000001-2050-410E-830E-4D304AE4F044}"/>
                </c:ext>
              </c:extLst>
            </c:dLbl>
            <c:dLbl>
              <c:idx val="1"/>
              <c:layout>
                <c:manualLayout>
                  <c:x val="7.9340803553401978E-2"/>
                  <c:y val="0.25527507590962889"/>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99FCC6E8-6497-45B8-AF86-DCF587D6FACC}"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48795342889831"/>
                      <c:h val="0.12023873140142029"/>
                    </c:manualLayout>
                  </c15:layout>
                  <c15:dlblFieldTable/>
                  <c15:showDataLabelsRange val="0"/>
                </c:ext>
                <c:ext xmlns:c16="http://schemas.microsoft.com/office/drawing/2014/chart" uri="{C3380CC4-5D6E-409C-BE32-E72D297353CC}">
                  <c16:uniqueId val="{00000003-2050-410E-830E-4D304AE4F044}"/>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0.96150000000000002</c:v>
                </c:pt>
                <c:pt idx="1">
                  <c:v>3.85E-2</c:v>
                </c:pt>
              </c:numCache>
            </c:numRef>
          </c:val>
          <c:extLst>
            <c:ext xmlns:c16="http://schemas.microsoft.com/office/drawing/2014/chart" uri="{C3380CC4-5D6E-409C-BE32-E72D297353CC}">
              <c16:uniqueId val="{00000004-2050-410E-830E-4D304AE4F044}"/>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Representation of All Respondents - 2021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F6-45D5-BE5D-5D2841FDBB2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F6-45D5-BE5D-5D2841FDBB29}"/>
              </c:ext>
            </c:extLst>
          </c:dPt>
          <c:dLbls>
            <c:dLbl>
              <c:idx val="0"/>
              <c:layout>
                <c:manualLayout>
                  <c:x val="-0.23972289521502119"/>
                  <c:y val="-0.204046780538369"/>
                </c:manualLayout>
              </c:layout>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Unrepresented</a:t>
                    </a:r>
                    <a:r>
                      <a:rPr lang="en-US" baseline="0"/>
                      <a:t>
</a:t>
                    </a:r>
                    <a:fld id="{D26A56FE-6926-4628-AFE8-2367DB5E68E1}"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33756410256410252"/>
                      <c:h val="0.15331152902698283"/>
                    </c:manualLayout>
                  </c15:layout>
                  <c15:dlblFieldTable/>
                  <c15:showDataLabelsRange val="0"/>
                </c:ext>
                <c:ext xmlns:c16="http://schemas.microsoft.com/office/drawing/2014/chart" uri="{C3380CC4-5D6E-409C-BE32-E72D297353CC}">
                  <c16:uniqueId val="{00000001-EEF6-45D5-BE5D-5D2841FDBB29}"/>
                </c:ext>
              </c:extLst>
            </c:dLbl>
            <c:dLbl>
              <c:idx val="1"/>
              <c:layout>
                <c:manualLayout>
                  <c:x val="0.18875496332189245"/>
                  <c:y val="0.217460130954603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35F4E5B9-F56A-418E-B21A-7C604513CF35}"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344033918837069"/>
                      <c:h val="0.13176614881439083"/>
                    </c:manualLayout>
                  </c15:layout>
                  <c15:dlblFieldTable/>
                  <c15:showDataLabelsRange val="0"/>
                </c:ext>
                <c:ext xmlns:c16="http://schemas.microsoft.com/office/drawing/2014/chart" uri="{C3380CC4-5D6E-409C-BE32-E72D297353CC}">
                  <c16:uniqueId val="{00000003-EEF6-45D5-BE5D-5D2841FDBB29}"/>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0.73970000000000002</c:v>
                </c:pt>
                <c:pt idx="1">
                  <c:v>0.26029999999999998</c:v>
                </c:pt>
              </c:numCache>
            </c:numRef>
          </c:val>
          <c:extLst>
            <c:ext xmlns:c16="http://schemas.microsoft.com/office/drawing/2014/chart" uri="{C3380CC4-5D6E-409C-BE32-E72D297353CC}">
              <c16:uniqueId val="{00000004-EEF6-45D5-BE5D-5D2841FDBB29}"/>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aseline="0">
                <a:latin typeface="Times New Roman" panose="02020603050405020304" pitchFamily="18" charset="0"/>
                <a:cs typeface="Times New Roman" panose="02020603050405020304" pitchFamily="18" charset="0"/>
              </a:rPr>
              <a:t>Representation of Respondents w/ DD </a:t>
            </a:r>
            <a:r>
              <a:rPr lang="en-US" sz="1400">
                <a:latin typeface="Times New Roman" panose="02020603050405020304" pitchFamily="18" charset="0"/>
                <a:cs typeface="Times New Roman" panose="02020603050405020304" pitchFamily="18" charset="0"/>
              </a:rPr>
              <a:t>- 2021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Attorney for Respondent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EB-4E91-A502-468442DAB7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EB-4E91-A502-468442DAB7AC}"/>
              </c:ext>
            </c:extLst>
          </c:dPt>
          <c:dLbls>
            <c:dLbl>
              <c:idx val="0"/>
              <c:layout>
                <c:manualLayout>
                  <c:x val="-0.11439716670031631"/>
                  <c:y val="-0.19308675569965528"/>
                </c:manualLayout>
              </c:layout>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Unrepresented</a:t>
                    </a:r>
                    <a:r>
                      <a:rPr lang="en-US" baseline="0"/>
                      <a:t>
</a:t>
                    </a:r>
                    <a:fld id="{29C97F49-F3CB-4E29-8F42-B1B96137FE01}"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33329059829059826"/>
                      <c:h val="0.15318627450980393"/>
                    </c:manualLayout>
                  </c15:layout>
                  <c15:dlblFieldTable/>
                  <c15:showDataLabelsRange val="0"/>
                </c:ext>
                <c:ext xmlns:c16="http://schemas.microsoft.com/office/drawing/2014/chart" uri="{C3380CC4-5D6E-409C-BE32-E72D297353CC}">
                  <c16:uniqueId val="{00000001-06EB-4E91-A502-468442DAB7AC}"/>
                </c:ext>
              </c:extLst>
            </c:dLbl>
            <c:dLbl>
              <c:idx val="1"/>
              <c:layout>
                <c:manualLayout>
                  <c:x val="0.12864425600646076"/>
                  <c:y val="0.2628031560393186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en-US"/>
                      <a:t>Represented</a:t>
                    </a:r>
                    <a:r>
                      <a:rPr lang="en-US" baseline="0"/>
                      <a:t>
</a:t>
                    </a:r>
                    <a:fld id="{14158F7E-6129-4017-8CA6-DDA0D6DD1C0A}" type="PERCENTAGE">
                      <a:rPr lang="en-US" baseline="0"/>
                      <a:pPr>
                        <a:defRPr>
                          <a:latin typeface="Times New Roman" panose="02020603050405020304" pitchFamily="18" charset="0"/>
                          <a:cs typeface="Times New Roman" panose="02020603050405020304" pitchFamily="18" charset="0"/>
                        </a:defRPr>
                      </a:pPr>
                      <a:t>[PERCENTAGE]</a:t>
                    </a:fld>
                    <a:endParaRPr lang="en-US" baseline="0"/>
                  </a:p>
                </c:rich>
              </c:tx>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15525943872403"/>
                      <c:h val="0.11639615820081312"/>
                    </c:manualLayout>
                  </c15:layout>
                  <c15:dlblFieldTable/>
                  <c15:showDataLabelsRange val="0"/>
                </c:ext>
                <c:ext xmlns:c16="http://schemas.microsoft.com/office/drawing/2014/chart" uri="{C3380CC4-5D6E-409C-BE32-E72D297353CC}">
                  <c16:uniqueId val="{00000003-06EB-4E91-A502-468442DAB7AC}"/>
                </c:ext>
              </c:extLst>
            </c:dLbl>
            <c:numFmt formatCode="General"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0.00%</c:formatCode>
                <c:ptCount val="2"/>
                <c:pt idx="0">
                  <c:v>0.93420000000000003</c:v>
                </c:pt>
                <c:pt idx="1">
                  <c:v>6.5799999999999997E-2</c:v>
                </c:pt>
              </c:numCache>
            </c:numRef>
          </c:val>
          <c:extLst>
            <c:ext xmlns:c16="http://schemas.microsoft.com/office/drawing/2014/chart" uri="{C3380CC4-5D6E-409C-BE32-E72D297353CC}">
              <c16:uniqueId val="{00000004-06EB-4E91-A502-468442DAB7AC}"/>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Guardianship</a:t>
            </a:r>
            <a:r>
              <a:rPr lang="en-US" sz="1400" baseline="0">
                <a:latin typeface="Times New Roman" panose="02020603050405020304" pitchFamily="18" charset="0"/>
                <a:cs typeface="Times New Roman" panose="02020603050405020304" pitchFamily="18" charset="0"/>
              </a:rPr>
              <a:t> Orders - 2019</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1E3-4625-BBF9-C78B2605D1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19-4DCF-8B1F-55B4C226CC5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19-4DCF-8B1F-55B4C226CC5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01E3-4625-BBF9-C78B2605D123}"/>
              </c:ext>
            </c:extLst>
          </c:dPt>
          <c:dLbls>
            <c:dLbl>
              <c:idx val="0"/>
              <c:tx>
                <c:rich>
                  <a:bodyPr/>
                  <a:lstStyle/>
                  <a:p>
                    <a:fld id="{6A9FC63D-1FFC-473B-8C06-70104ECFEE6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1E3-4625-BBF9-C78B2605D123}"/>
                </c:ext>
              </c:extLst>
            </c:dLbl>
            <c:dLbl>
              <c:idx val="1"/>
              <c:tx>
                <c:rich>
                  <a:bodyPr/>
                  <a:lstStyle/>
                  <a:p>
                    <a:fld id="{6C0E3998-11C2-4347-B0ED-706EBF2B7C7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B19-4DCF-8B1F-55B4C226CC56}"/>
                </c:ext>
              </c:extLst>
            </c:dLbl>
            <c:dLbl>
              <c:idx val="2"/>
              <c:tx>
                <c:rich>
                  <a:bodyPr/>
                  <a:lstStyle/>
                  <a:p>
                    <a:fld id="{A8BCD876-F78A-4486-A72C-71FAB35C65A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B19-4DCF-8B1F-55B4C226CC56}"/>
                </c:ext>
              </c:extLst>
            </c:dLbl>
            <c:dLbl>
              <c:idx val="3"/>
              <c:layout>
                <c:manualLayout>
                  <c:x val="-0.1637653947102766"/>
                  <c:y val="1.2620048914340253E-2"/>
                </c:manualLayout>
              </c:layout>
              <c:tx>
                <c:rich>
                  <a:bodyPr/>
                  <a:lstStyle/>
                  <a:p>
                    <a:fld id="{89F52324-9AD1-4B5C-8B41-AA52A207C491}"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1E3-4625-BBF9-C78B2605D12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Sheet1!$A$2:$A$5</c:f>
              <c:strCache>
                <c:ptCount val="4"/>
                <c:pt idx="0">
                  <c:v>Full Guardianship</c:v>
                </c:pt>
                <c:pt idx="1">
                  <c:v>Limited Guardianship</c:v>
                </c:pt>
                <c:pt idx="2">
                  <c:v>No Guardianship</c:v>
                </c:pt>
                <c:pt idx="3">
                  <c:v>n/a</c:v>
                </c:pt>
              </c:strCache>
            </c:strRef>
          </c:cat>
          <c:val>
            <c:numRef>
              <c:f>Sheet1!$B$2:$B$5</c:f>
              <c:numCache>
                <c:formatCode>0%</c:formatCode>
                <c:ptCount val="4"/>
                <c:pt idx="0">
                  <c:v>0.71</c:v>
                </c:pt>
                <c:pt idx="1">
                  <c:v>0.06</c:v>
                </c:pt>
                <c:pt idx="2">
                  <c:v>0.23</c:v>
                </c:pt>
                <c:pt idx="3">
                  <c:v>0</c:v>
                </c:pt>
              </c:numCache>
            </c:numRef>
          </c:val>
          <c:extLst>
            <c:ext xmlns:c15="http://schemas.microsoft.com/office/drawing/2012/chart" uri="{02D57815-91ED-43cb-92C2-25804820EDAC}">
              <c15:datalabelsRange>
                <c15:f>Sheet1!$B$2:$B$5</c15:f>
                <c15:dlblRangeCache>
                  <c:ptCount val="4"/>
                  <c:pt idx="0">
                    <c:v>71%</c:v>
                  </c:pt>
                  <c:pt idx="1">
                    <c:v>6%</c:v>
                  </c:pt>
                  <c:pt idx="2">
                    <c:v>23%</c:v>
                  </c:pt>
                  <c:pt idx="3">
                    <c:v>&gt;1%</c:v>
                  </c:pt>
                </c15:dlblRangeCache>
              </c15:datalabelsRange>
            </c:ext>
            <c:ext xmlns:c16="http://schemas.microsoft.com/office/drawing/2014/chart" uri="{C3380CC4-5D6E-409C-BE32-E72D297353CC}">
              <c16:uniqueId val="{00000000-01E3-4625-BBF9-C78B2605D1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1880913924221009"/>
          <c:y val="0.86669599538694031"/>
          <c:w val="0.8692193283531866"/>
          <c:h val="9.5425216734271859E-2"/>
        </c:manualLayout>
      </c:layout>
      <c:overlay val="0"/>
      <c:spPr>
        <a:solidFill>
          <a:schemeClr val="bg1"/>
        </a:solidFill>
        <a:ln>
          <a:noFill/>
        </a:ln>
        <a:effectLst/>
      </c:spPr>
      <c:txPr>
        <a:bodyPr rot="0" spcFirstLastPara="1" vertOverflow="ellipsis" vert="horz" wrap="square" anchor="ctr" anchorCtr="0"/>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a:t>Respondents w/ DD - 2019</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9728110909213273E-2"/>
          <c:y val="0.14626381929531532"/>
          <c:w val="0.90909078672858201"/>
          <c:h val="0.6714875129245208"/>
        </c:manualLayout>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40-4DBF-98BF-0B953568254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40-4DBF-98BF-0B953568254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240-4DBF-98BF-0B9535682543}"/>
              </c:ext>
            </c:extLst>
          </c:dPt>
          <c:dLbls>
            <c:dLbl>
              <c:idx val="1"/>
              <c:layout>
                <c:manualLayout>
                  <c:x val="0.1408079278551719"/>
                  <c:y val="9.04026319626712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40-4DBF-98BF-0B9535682543}"/>
                </c:ext>
              </c:extLst>
            </c:dLbl>
            <c:dLbl>
              <c:idx val="2"/>
              <c:layout>
                <c:manualLayout>
                  <c:x val="9.559122417390134E-2"/>
                  <c:y val="0.107323259939729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40-4DBF-98BF-0B953568254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Full Guardianship</c:v>
                </c:pt>
                <c:pt idx="1">
                  <c:v>Limited Guardianship</c:v>
                </c:pt>
                <c:pt idx="2">
                  <c:v>No Guardianship</c:v>
                </c:pt>
              </c:strCache>
            </c:strRef>
          </c:cat>
          <c:val>
            <c:numRef>
              <c:f>Sheet1!$B$2:$B$4</c:f>
              <c:numCache>
                <c:formatCode>0.00%</c:formatCode>
                <c:ptCount val="3"/>
                <c:pt idx="0">
                  <c:v>0.81889999999999996</c:v>
                </c:pt>
                <c:pt idx="1">
                  <c:v>7.8700000000000006E-2</c:v>
                </c:pt>
                <c:pt idx="2">
                  <c:v>0.1024</c:v>
                </c:pt>
              </c:numCache>
            </c:numRef>
          </c:val>
          <c:extLst>
            <c:ext xmlns:c16="http://schemas.microsoft.com/office/drawing/2014/chart" uri="{C3380CC4-5D6E-409C-BE32-E72D297353CC}">
              <c16:uniqueId val="{00000008-3240-4DBF-98BF-0B9535682543}"/>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Guardianship</a:t>
            </a:r>
            <a:r>
              <a:rPr lang="en-US" sz="1400" baseline="0">
                <a:latin typeface="Times New Roman" panose="02020603050405020304" pitchFamily="18" charset="0"/>
                <a:cs typeface="Times New Roman" panose="02020603050405020304" pitchFamily="18" charset="0"/>
              </a:rPr>
              <a:t> Orders - 2020</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6.2672454404737857E-2"/>
          <c:y val="0.13229166666666667"/>
          <c:w val="0.87465509119052431"/>
          <c:h val="0.71065726159230092"/>
        </c:manualLayout>
      </c:layout>
      <c:pieChart>
        <c:varyColors val="1"/>
        <c:ser>
          <c:idx val="0"/>
          <c:order val="0"/>
          <c:tx>
            <c:strRef>
              <c:f>Sheet1!$B$1</c:f>
              <c:strCache>
                <c:ptCount val="1"/>
                <c:pt idx="0">
                  <c:v>Guardianship Ordered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15-479F-9DE8-25E61D6D9D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15-479F-9DE8-25E61D6D9D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15-479F-9DE8-25E61D6D9D0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15-479F-9DE8-25E61D6D9D09}"/>
              </c:ext>
            </c:extLst>
          </c:dPt>
          <c:dLbls>
            <c:dLbl>
              <c:idx val="3"/>
              <c:layout>
                <c:manualLayout>
                  <c:x val="-0.1637653947102766"/>
                  <c:y val="4.10291398234311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15-479F-9DE8-25E61D6D9D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 Guardianship</c:v>
                </c:pt>
                <c:pt idx="1">
                  <c:v>Limited Guardianship</c:v>
                </c:pt>
                <c:pt idx="2">
                  <c:v>No Guardianship</c:v>
                </c:pt>
                <c:pt idx="3">
                  <c:v>n/a</c:v>
                </c:pt>
              </c:strCache>
            </c:strRef>
          </c:cat>
          <c:val>
            <c:numRef>
              <c:f>Sheet1!$B$2:$B$5</c:f>
              <c:numCache>
                <c:formatCode>0.00%</c:formatCode>
                <c:ptCount val="4"/>
                <c:pt idx="0">
                  <c:v>0.71850000000000003</c:v>
                </c:pt>
                <c:pt idx="1">
                  <c:v>6.8900000000000003E-2</c:v>
                </c:pt>
                <c:pt idx="2">
                  <c:v>0.1976</c:v>
                </c:pt>
                <c:pt idx="3">
                  <c:v>1.4999999999999999E-2</c:v>
                </c:pt>
              </c:numCache>
            </c:numRef>
          </c:val>
          <c:extLst>
            <c:ext xmlns:c16="http://schemas.microsoft.com/office/drawing/2014/chart" uri="{C3380CC4-5D6E-409C-BE32-E72D297353CC}">
              <c16:uniqueId val="{00000008-7F15-479F-9DE8-25E61D6D9D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1282623325930414"/>
          <c:y val="0.87521872265966749"/>
          <c:w val="0.78374924288310133"/>
          <c:h val="9.5425216734271859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2377-27FD-4C01-B7B9-FEB4456D3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7270</Words>
  <Characters>40123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Disability Rights Maine</Company>
  <LinksUpToDate>false</LinksUpToDate>
  <CharactersWithSpaces>47299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Wille</dc:creator>
  <cp:keywords/>
  <dc:description/>
  <cp:lastModifiedBy>Lauren Wille</cp:lastModifiedBy>
  <cp:revision>2</cp:revision>
  <cp:lastPrinted>2024-09-16T19:40:00Z</cp:lastPrinted>
  <dcterms:created xsi:type="dcterms:W3CDTF">2024-10-10T16:59:00Z</dcterms:created>
  <dcterms:modified xsi:type="dcterms:W3CDTF">2024-10-10T16:59:00Z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66a08ace515900ff0a91c76739de7017a6b3d8c86419850e4d8ffe7553aece4a</vt:lpwstr>
  </property>
</Properties>
</file>